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3657" w14:textId="77777777" w:rsidR="008C1B00" w:rsidRPr="004F52AE" w:rsidRDefault="008C1B00" w:rsidP="00D5383E">
      <w:pPr>
        <w:spacing w:line="276" w:lineRule="auto"/>
        <w:rPr>
          <w:rFonts w:cstheme="minorHAnsi"/>
          <w:kern w:val="24"/>
          <w:sz w:val="22"/>
          <w:szCs w:val="22"/>
        </w:rPr>
      </w:pPr>
      <w:r w:rsidRPr="004F52AE">
        <w:rPr>
          <w:rFonts w:cstheme="minorHAnsi"/>
          <w:b/>
          <w:sz w:val="22"/>
          <w:szCs w:val="22"/>
        </w:rPr>
        <w:t>Table S1</w:t>
      </w:r>
      <w:r w:rsidRPr="004F52AE">
        <w:rPr>
          <w:rFonts w:cstheme="minorHAnsi"/>
          <w:sz w:val="22"/>
          <w:szCs w:val="22"/>
        </w:rPr>
        <w:t xml:space="preserve">. </w:t>
      </w:r>
      <w:r w:rsidRPr="004F52AE">
        <w:rPr>
          <w:rFonts w:cstheme="minorHAnsi"/>
          <w:kern w:val="24"/>
          <w:sz w:val="22"/>
          <w:szCs w:val="22"/>
        </w:rPr>
        <w:t xml:space="preserve">Characteristic of women with singleton pregnancies with conception from 1 November 2007 to 1 February 2014.  Exposed with </w:t>
      </w:r>
      <w:r w:rsidRPr="004F52AE">
        <w:rPr>
          <w:rFonts w:cstheme="minorHAnsi"/>
          <w:sz w:val="22"/>
          <w:szCs w:val="22"/>
        </w:rPr>
        <w:t>one</w:t>
      </w:r>
      <w:r w:rsidRPr="004F52AE">
        <w:rPr>
          <w:rFonts w:cstheme="minorHAnsi"/>
          <w:i/>
          <w:sz w:val="22"/>
          <w:szCs w:val="22"/>
        </w:rPr>
        <w:t xml:space="preserve"> </w:t>
      </w:r>
      <w:r w:rsidRPr="004F52AE">
        <w:rPr>
          <w:rFonts w:cstheme="minorHAnsi"/>
          <w:sz w:val="22"/>
          <w:szCs w:val="22"/>
        </w:rPr>
        <w:t>or more redeemed prescription of antidepressants</w:t>
      </w:r>
      <w:r w:rsidRPr="004F52AE">
        <w:rPr>
          <w:rFonts w:cstheme="minorHAnsi"/>
          <w:kern w:val="24"/>
          <w:sz w:val="22"/>
          <w:szCs w:val="22"/>
        </w:rPr>
        <w:t>, unexposed and former use</w:t>
      </w:r>
    </w:p>
    <w:p w14:paraId="61AFE7D4" w14:textId="1E676A14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tbl>
      <w:tblPr>
        <w:tblStyle w:val="Tabel-Gitter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1391"/>
        <w:gridCol w:w="1406"/>
        <w:gridCol w:w="1522"/>
      </w:tblGrid>
      <w:tr w:rsidR="00410AD4" w:rsidRPr="004F52AE" w14:paraId="7320CB6B" w14:textId="77777777" w:rsidTr="00D5383E">
        <w:trPr>
          <w:trHeight w:val="283"/>
          <w:jc w:val="center"/>
        </w:trPr>
        <w:tc>
          <w:tcPr>
            <w:tcW w:w="391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946C86E" w14:textId="77777777" w:rsidR="008C1B00" w:rsidRPr="004F52AE" w:rsidRDefault="008C1B00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  <w:p w14:paraId="10F8B3AE" w14:textId="1453ADFF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Characteristic</w:t>
            </w:r>
          </w:p>
          <w:p w14:paraId="3011D3AF" w14:textId="77777777" w:rsidR="00410AD4" w:rsidRPr="004F52AE" w:rsidRDefault="00410AD4" w:rsidP="002F5BF9">
            <w:pPr>
              <w:pStyle w:val="Brdtekst1"/>
              <w:spacing w:line="360" w:lineRule="auto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</w:tc>
        <w:tc>
          <w:tcPr>
            <w:tcW w:w="139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6F2A044" w14:textId="77777777" w:rsidR="00410AD4" w:rsidRPr="004F52AE" w:rsidRDefault="00410AD4" w:rsidP="002F5BF9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4FB1351" w14:textId="77777777" w:rsidR="00410AD4" w:rsidRPr="004F52AE" w:rsidRDefault="00410AD4" w:rsidP="002F5BF9">
            <w:pPr>
              <w:pStyle w:val="Brdtekst1"/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Exposed</w:t>
            </w:r>
          </w:p>
          <w:p w14:paraId="7F20D041" w14:textId="37F5E486" w:rsidR="00410AD4" w:rsidRPr="004F52AE" w:rsidRDefault="00410AD4" w:rsidP="002F5BF9">
            <w:pPr>
              <w:pStyle w:val="Brdtekst1"/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(n= 11</w:t>
            </w:r>
            <w:r w:rsidR="00C5535A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459)</w:t>
            </w:r>
          </w:p>
        </w:tc>
        <w:tc>
          <w:tcPr>
            <w:tcW w:w="140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E258E8" w14:textId="77777777" w:rsidR="00410AD4" w:rsidRPr="004F52AE" w:rsidRDefault="00410AD4" w:rsidP="008C1B00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E798989" w14:textId="77777777" w:rsidR="00410AD4" w:rsidRPr="004F52AE" w:rsidRDefault="00410AD4" w:rsidP="002F5BF9">
            <w:pPr>
              <w:pStyle w:val="Brdtekst1"/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Unexposed</w:t>
            </w:r>
          </w:p>
          <w:p w14:paraId="679E0AA9" w14:textId="6D034EAE" w:rsidR="00410AD4" w:rsidRPr="004F52AE" w:rsidRDefault="00410AD4" w:rsidP="002F5BF9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(n= 346</w:t>
            </w:r>
            <w:r w:rsidR="00C5535A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227)</w:t>
            </w:r>
          </w:p>
        </w:tc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0BD095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  <w:p w14:paraId="214DC025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Former use</w:t>
            </w:r>
          </w:p>
          <w:p w14:paraId="3ED10104" w14:textId="7A978F91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(n= 6</w:t>
            </w:r>
            <w:r w:rsidR="00C5535A"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326)</w:t>
            </w:r>
          </w:p>
        </w:tc>
      </w:tr>
      <w:tr w:rsidR="00410AD4" w:rsidRPr="004F52AE" w14:paraId="4B0331B9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28C753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Age at conception, years, mean (</w:t>
            </w:r>
            <w:proofErr w:type="spellStart"/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sd</w:t>
            </w:r>
            <w:proofErr w:type="spellEnd"/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7393F1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29.6 (5.6)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FF67C2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29.7 (5.1)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3C43D6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28.7 (5.7)</w:t>
            </w:r>
          </w:p>
        </w:tc>
      </w:tr>
      <w:tr w:rsidR="00410AD4" w:rsidRPr="004F52AE" w14:paraId="28AB3700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975CE6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Parity, n (%)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D3C376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FE72E3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8A5351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</w:tr>
      <w:tr w:rsidR="00410AD4" w:rsidRPr="004F52AE" w14:paraId="5724A5F0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nil"/>
              <w:bottom w:val="nil"/>
            </w:tcBorders>
            <w:shd w:val="clear" w:color="auto" w:fill="auto"/>
          </w:tcPr>
          <w:p w14:paraId="4B69B61E" w14:textId="77777777" w:rsidR="00410AD4" w:rsidRPr="004F52AE" w:rsidRDefault="00410AD4" w:rsidP="002F5BF9">
            <w:pPr>
              <w:spacing w:line="360" w:lineRule="auto"/>
              <w:ind w:left="720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C82CD" w14:textId="54F6832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4739 (41.4)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B2CD84" w14:textId="0FCA62B5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146</w:t>
            </w:r>
            <w:r w:rsidR="00766E07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935 (42.4)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2E8AB" w14:textId="20596066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2809 (44.4)</w:t>
            </w:r>
          </w:p>
        </w:tc>
      </w:tr>
      <w:tr w:rsidR="00410AD4" w:rsidRPr="004F52AE" w14:paraId="0EA26EBE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EBC68" w14:textId="77777777" w:rsidR="00410AD4" w:rsidRPr="004F52AE" w:rsidRDefault="00410AD4" w:rsidP="002F5BF9">
            <w:pPr>
              <w:spacing w:line="360" w:lineRule="auto"/>
              <w:ind w:left="720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&gt;0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8EC1EA" w14:textId="10125898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5653 (49.3)</w:t>
            </w: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B20992" w14:textId="4E90B415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177</w:t>
            </w:r>
            <w:r w:rsidR="00766E07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103 (51.2)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25FE88" w14:textId="1FD3E992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2993 (47.3)</w:t>
            </w:r>
          </w:p>
        </w:tc>
      </w:tr>
      <w:tr w:rsidR="00410AD4" w:rsidRPr="004F52AE" w14:paraId="3DDF5270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7F1F81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BMI, kg/m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vertAlign w:val="superscript"/>
                <w:lang w:val="en-GB"/>
              </w:rPr>
              <w:t>2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 xml:space="preserve">, n (%), 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E85F59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9E97BF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305FFD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</w:tr>
      <w:tr w:rsidR="00410AD4" w:rsidRPr="004F52AE" w14:paraId="11D63A2A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nil"/>
              <w:bottom w:val="nil"/>
            </w:tcBorders>
            <w:shd w:val="clear" w:color="auto" w:fill="auto"/>
          </w:tcPr>
          <w:p w14:paraId="3B6A713F" w14:textId="77777777" w:rsidR="00410AD4" w:rsidRPr="004F52AE" w:rsidRDefault="00410AD4" w:rsidP="002F5BF9">
            <w:pPr>
              <w:spacing w:line="360" w:lineRule="auto"/>
              <w:ind w:left="720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 xml:space="preserve">&lt;25 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876090" w14:textId="1FB44894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5434 (47.4)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907CFB" w14:textId="0C6478A3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204</w:t>
            </w:r>
            <w:r w:rsidR="00766E07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278 (59.0)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178F03" w14:textId="528455B0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3156 (49.9)</w:t>
            </w:r>
          </w:p>
        </w:tc>
      </w:tr>
      <w:tr w:rsidR="00410AD4" w:rsidRPr="004F52AE" w14:paraId="52A9CCB2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nil"/>
              <w:bottom w:val="nil"/>
            </w:tcBorders>
            <w:shd w:val="clear" w:color="auto" w:fill="auto"/>
          </w:tcPr>
          <w:p w14:paraId="62820917" w14:textId="77777777" w:rsidR="00410AD4" w:rsidRPr="004F52AE" w:rsidRDefault="00410AD4" w:rsidP="002F5BF9">
            <w:pPr>
              <w:spacing w:line="360" w:lineRule="auto"/>
              <w:ind w:left="720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 xml:space="preserve">25–29.9 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39B29" w14:textId="625114A1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2349 (20.5)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44BA2" w14:textId="6806C52E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64</w:t>
            </w:r>
            <w:r w:rsidR="00766E07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727 (18.7)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67A97" w14:textId="39D81036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1331 (21.0)</w:t>
            </w:r>
          </w:p>
        </w:tc>
      </w:tr>
      <w:tr w:rsidR="00410AD4" w:rsidRPr="004F52AE" w14:paraId="69DD2DCB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1E9A56" w14:textId="77777777" w:rsidR="00410AD4" w:rsidRPr="004F52AE" w:rsidRDefault="00410AD4" w:rsidP="002F5BF9">
            <w:pPr>
              <w:spacing w:line="360" w:lineRule="auto"/>
              <w:ind w:left="720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u w:val="single"/>
                <w:lang w:val="en-GB"/>
              </w:rPr>
              <w:t>&gt;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 xml:space="preserve"> 30 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13AEA2" w14:textId="5B914D89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2645 (23.1)</w:t>
            </w: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F4B14" w14:textId="0ABEBDCF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57</w:t>
            </w:r>
            <w:r w:rsidR="00766E07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112 (16.5)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900A06" w14:textId="30F2C833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1347 (21.3)</w:t>
            </w:r>
          </w:p>
        </w:tc>
      </w:tr>
      <w:tr w:rsidR="00410AD4" w:rsidRPr="004F52AE" w14:paraId="394535D8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32A5A0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Smoking in pregnancy, n (%)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08E601" w14:textId="6CF72B89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2518 (22.0)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6CB05E" w14:textId="3717DADA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33</w:t>
            </w:r>
            <w:r w:rsidR="00766E07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076 (9.6)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B6F797" w14:textId="2933A953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1402 (22.2)</w:t>
            </w:r>
          </w:p>
        </w:tc>
      </w:tr>
      <w:tr w:rsidR="00410AD4" w:rsidRPr="004F52AE" w14:paraId="77A5E89A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2F7F14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Civil status, living with partner, n (%)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2AF36A" w14:textId="614E0CE5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9617 (83.9)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C8F87C" w14:textId="7808E94B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312</w:t>
            </w:r>
            <w:r w:rsidR="00766E07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987 (90.4)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F171C3" w14:textId="3DF39D9C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5357 (84.7)</w:t>
            </w:r>
          </w:p>
        </w:tc>
      </w:tr>
      <w:tr w:rsidR="00410AD4" w:rsidRPr="004F52AE" w14:paraId="7D61490E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D966F0" w14:textId="77777777" w:rsidR="00410AD4" w:rsidRPr="004F52AE" w:rsidRDefault="00410AD4" w:rsidP="002F5BF9">
            <w:pPr>
              <w:pStyle w:val="Brdtekst1"/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Ethnicities, n (%)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4EDCED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7E64D6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EF3F6F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</w:tr>
      <w:tr w:rsidR="00410AD4" w:rsidRPr="004F52AE" w14:paraId="60651DC3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nil"/>
              <w:bottom w:val="nil"/>
            </w:tcBorders>
            <w:shd w:val="clear" w:color="auto" w:fill="auto"/>
          </w:tcPr>
          <w:p w14:paraId="183CA615" w14:textId="77777777" w:rsidR="00410AD4" w:rsidRPr="004F52AE" w:rsidRDefault="00410AD4" w:rsidP="002F5BF9">
            <w:pPr>
              <w:spacing w:line="360" w:lineRule="auto"/>
              <w:ind w:left="720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Afro-Caribbean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C412D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45 (0.4)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D5B79" w14:textId="7DF55B5D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3483 (1.0)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4B2206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38 (0.6)</w:t>
            </w:r>
          </w:p>
        </w:tc>
      </w:tr>
      <w:tr w:rsidR="00410AD4" w:rsidRPr="004F52AE" w14:paraId="726FC8F4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nil"/>
              <w:bottom w:val="nil"/>
            </w:tcBorders>
            <w:shd w:val="clear" w:color="auto" w:fill="auto"/>
          </w:tcPr>
          <w:p w14:paraId="2233BD06" w14:textId="77777777" w:rsidR="00410AD4" w:rsidRPr="004F52AE" w:rsidRDefault="00410AD4" w:rsidP="002F5BF9">
            <w:pPr>
              <w:pStyle w:val="Brdtekst1"/>
              <w:spacing w:line="360" w:lineRule="auto"/>
              <w:ind w:left="720"/>
              <w:rPr>
                <w:rFonts w:asciiTheme="minorHAnsi" w:eastAsia="Baskerville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75A55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192 (1.7)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14FD7" w14:textId="7E6EDBDB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11</w:t>
            </w:r>
            <w:r w:rsidR="00766E07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023 (3.2)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E0A03C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120 (1.9)</w:t>
            </w:r>
          </w:p>
        </w:tc>
      </w:tr>
      <w:tr w:rsidR="00410AD4" w:rsidRPr="004F52AE" w14:paraId="0F1F2824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nil"/>
              <w:bottom w:val="nil"/>
            </w:tcBorders>
            <w:shd w:val="clear" w:color="auto" w:fill="auto"/>
          </w:tcPr>
          <w:p w14:paraId="457D2A75" w14:textId="77777777" w:rsidR="00410AD4" w:rsidRPr="004F52AE" w:rsidRDefault="00410AD4" w:rsidP="002F5BF9">
            <w:pPr>
              <w:spacing w:line="360" w:lineRule="auto"/>
              <w:ind w:left="720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Caucasian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D2A10B" w14:textId="45F235F3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9773 (85.3)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91B55" w14:textId="12D76786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292</w:t>
            </w:r>
            <w:r w:rsidR="00766E07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754 (84.6)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A5AED" w14:textId="48BEF3E6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5405 (85.4)</w:t>
            </w:r>
          </w:p>
        </w:tc>
      </w:tr>
      <w:tr w:rsidR="00410AD4" w:rsidRPr="004F52AE" w14:paraId="583A0FB6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53B23D" w14:textId="77777777" w:rsidR="00410AD4" w:rsidRPr="004F52AE" w:rsidRDefault="00410AD4" w:rsidP="002F5BF9">
            <w:pPr>
              <w:spacing w:line="360" w:lineRule="auto"/>
              <w:ind w:left="720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E99ABC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111 (1.0)</w:t>
            </w: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21090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5,732 (1.7)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A23E3A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 (1.6)</w:t>
            </w:r>
          </w:p>
        </w:tc>
      </w:tr>
      <w:tr w:rsidR="00410AD4" w:rsidRPr="004F52AE" w14:paraId="50828A35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98E63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Depression diagnosis*, n (%)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83A91" w14:textId="214A13D8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4738 (41.4)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B94E9" w14:textId="05CCEA6D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</w:t>
            </w:r>
            <w:r w:rsidR="00766E07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208 (3,0)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C6605" w14:textId="609F94CC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1457 (23.0)</w:t>
            </w:r>
          </w:p>
        </w:tc>
      </w:tr>
      <w:tr w:rsidR="00410AD4" w:rsidRPr="004F52AE" w14:paraId="50A3D574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CFC87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highlight w:val="yellow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Diabetes**, n (%)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0A8C1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299 (2.6)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6A231" w14:textId="2B7FAB00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5624 (1.6)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926D7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127 (2.0)</w:t>
            </w:r>
          </w:p>
        </w:tc>
      </w:tr>
      <w:tr w:rsidR="00410AD4" w:rsidRPr="004F52AE" w14:paraId="6E176924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0AAB1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of antihypertensive***, n (%)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2331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175 (1.5)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FCEF1" w14:textId="31E7FA72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1849 (0.5)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2B99B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51(0.8)</w:t>
            </w:r>
          </w:p>
        </w:tc>
      </w:tr>
      <w:tr w:rsidR="00410AD4" w:rsidRPr="004F52AE" w14:paraId="13962D2E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97168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of known teratogen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068D7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245 (2.1)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2D394" w14:textId="5BCFF2B2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2901 (0.8)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B9595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80 (1.3)</w:t>
            </w:r>
          </w:p>
        </w:tc>
      </w:tr>
      <w:tr w:rsidR="00410AD4" w:rsidRPr="004F52AE" w14:paraId="7D5BCA16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4FEC18" w14:textId="77777777" w:rsidR="00410AD4" w:rsidRPr="004F52AE" w:rsidRDefault="00410AD4" w:rsidP="002F5BF9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Use of </w:t>
            </w:r>
            <w:proofErr w:type="gramStart"/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</w:t>
            </w:r>
            <w:proofErr w:type="gramEnd"/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psychotropic medication***, n (%)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2118E8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C53B01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753AC2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</w:p>
        </w:tc>
      </w:tr>
      <w:tr w:rsidR="00410AD4" w:rsidRPr="004F52AE" w14:paraId="4B380868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nil"/>
              <w:bottom w:val="nil"/>
            </w:tcBorders>
            <w:shd w:val="clear" w:color="auto" w:fill="auto"/>
          </w:tcPr>
          <w:p w14:paraId="4564B53D" w14:textId="77777777" w:rsidR="00410AD4" w:rsidRPr="004F52AE" w:rsidRDefault="00410AD4" w:rsidP="002F5BF9">
            <w:pPr>
              <w:spacing w:line="360" w:lineRule="auto"/>
              <w:ind w:left="720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Antiepileptics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89B9C1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457 (4.0)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A7FDBA" w14:textId="539E6C62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1370 (0.4)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D8F86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82 (1.3)</w:t>
            </w:r>
          </w:p>
        </w:tc>
      </w:tr>
      <w:tr w:rsidR="00410AD4" w:rsidRPr="004F52AE" w14:paraId="5E6D0D93" w14:textId="77777777" w:rsidTr="008C1B00">
        <w:trPr>
          <w:trHeight w:val="283"/>
          <w:jc w:val="center"/>
        </w:trPr>
        <w:tc>
          <w:tcPr>
            <w:tcW w:w="3918" w:type="dxa"/>
            <w:tcBorders>
              <w:top w:val="nil"/>
              <w:bottom w:val="nil"/>
            </w:tcBorders>
            <w:shd w:val="clear" w:color="auto" w:fill="auto"/>
          </w:tcPr>
          <w:p w14:paraId="3FA759DE" w14:textId="77777777" w:rsidR="00410AD4" w:rsidRPr="004F52AE" w:rsidRDefault="00410AD4" w:rsidP="002F5BF9">
            <w:pPr>
              <w:spacing w:line="360" w:lineRule="auto"/>
              <w:ind w:left="720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Antipsychotics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2F7C8F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687 (6.0)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A246F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476 (0.1)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48FC9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87 (1.4)</w:t>
            </w:r>
          </w:p>
        </w:tc>
      </w:tr>
      <w:tr w:rsidR="00410AD4" w:rsidRPr="004F52AE" w14:paraId="34B189F6" w14:textId="77777777" w:rsidTr="00D5383E">
        <w:trPr>
          <w:trHeight w:val="283"/>
          <w:jc w:val="center"/>
        </w:trPr>
        <w:tc>
          <w:tcPr>
            <w:tcW w:w="3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AEAE66" w14:textId="77777777" w:rsidR="00410AD4" w:rsidRPr="004F52AE" w:rsidRDefault="00410AD4" w:rsidP="002F5BF9">
            <w:pPr>
              <w:spacing w:line="360" w:lineRule="auto"/>
              <w:ind w:left="720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Anxiolytics, hypnosis, and sedatives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654B69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40 (0.3)</w:t>
            </w: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0AB224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47 (0.0)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0F55B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 (0.1)</w:t>
            </w:r>
          </w:p>
        </w:tc>
      </w:tr>
      <w:tr w:rsidR="00410AD4" w:rsidRPr="004F52AE" w14:paraId="7EC67EDE" w14:textId="77777777" w:rsidTr="00D5383E">
        <w:trPr>
          <w:trHeight w:val="283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1A067D68" w14:textId="65BCC03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 xml:space="preserve">Missing, n (%):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Exposed/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Unexposed/ Former use: Parity: 1067 (9.3)/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22</w:t>
            </w:r>
            <w:r w:rsidR="00481420"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189 (6.4)/ 524 (8.3), BMI: 1031 (9.0)/</w:t>
            </w:r>
            <w:r w:rsidRPr="004F52A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20</w:t>
            </w:r>
            <w:r w:rsidR="00766E07"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110 (5.8)/</w:t>
            </w:r>
            <w:r w:rsidRPr="004F52A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492 (7.8), smoking: 830 (7.2)/ 16</w:t>
            </w:r>
            <w:r w:rsidR="00766E07"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227 (4.7)/ 399 (6.3), civil status 39 (0.3)/ 478 (0.1)/ 20 (0.3), ethnicity: 1338 (11.7)/ 33</w:t>
            </w:r>
            <w:r w:rsidR="00766E07"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235 (9.6)/ 663 (10.5)</w:t>
            </w:r>
          </w:p>
          <w:p w14:paraId="0605CCDC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* Diagnoses within two years prior to conception date</w:t>
            </w:r>
          </w:p>
          <w:p w14:paraId="2790D1BD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i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** Diagnoses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within two years prior to conception date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and/or antidiabetic agents one month prior to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conception date throughout first trimester</w:t>
            </w:r>
          </w:p>
          <w:p w14:paraId="79CB13E0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i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*** Use of other medication one month prior to </w:t>
            </w:r>
            <w:r w:rsidRPr="004F52AE"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  <w:t>conception date throughout first trimester</w:t>
            </w:r>
          </w:p>
        </w:tc>
      </w:tr>
    </w:tbl>
    <w:p w14:paraId="1FFE0CA7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42EEEE17" w14:textId="77777777" w:rsidR="008C1B00" w:rsidRPr="004F52AE" w:rsidRDefault="008C1B00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62099927" w14:textId="77777777" w:rsidR="008C1B00" w:rsidRPr="004F52AE" w:rsidRDefault="008C1B00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6E8280BB" w14:textId="77777777" w:rsidR="008C1B00" w:rsidRPr="004F52AE" w:rsidRDefault="008C1B00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2BA02C3A" w14:textId="77777777" w:rsidR="008C1B00" w:rsidRPr="004F52AE" w:rsidRDefault="008C1B00" w:rsidP="00410AD4">
      <w:pPr>
        <w:spacing w:line="480" w:lineRule="auto"/>
        <w:rPr>
          <w:rFonts w:cstheme="minorHAnsi"/>
          <w:bCs/>
          <w:sz w:val="16"/>
          <w:szCs w:val="16"/>
        </w:rPr>
      </w:pPr>
    </w:p>
    <w:tbl>
      <w:tblPr>
        <w:tblStyle w:val="Tabel-Gitter"/>
        <w:tblpPr w:leftFromText="141" w:rightFromText="141" w:vertAnchor="text" w:horzAnchor="margin" w:tblpY="1418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84"/>
        <w:gridCol w:w="2268"/>
        <w:gridCol w:w="283"/>
        <w:gridCol w:w="2127"/>
        <w:gridCol w:w="283"/>
        <w:gridCol w:w="2126"/>
      </w:tblGrid>
      <w:tr w:rsidR="008C1B00" w:rsidRPr="004F52AE" w14:paraId="061C62BA" w14:textId="77777777" w:rsidTr="00D5383E">
        <w:trPr>
          <w:trHeight w:val="751"/>
        </w:trPr>
        <w:tc>
          <w:tcPr>
            <w:tcW w:w="2268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37E8849E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6E346D99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C5D7C5E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597910AB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Exposed </w:t>
            </w:r>
          </w:p>
          <w:p w14:paraId="148146F7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versus </w:t>
            </w:r>
          </w:p>
          <w:p w14:paraId="3E8C3936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unexposed</w:t>
            </w:r>
          </w:p>
        </w:tc>
        <w:tc>
          <w:tcPr>
            <w:tcW w:w="283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247BB166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851554C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234203C7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Exposed </w:t>
            </w:r>
          </w:p>
          <w:p w14:paraId="3697A17D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versus </w:t>
            </w:r>
          </w:p>
          <w:p w14:paraId="721B1B17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former use</w:t>
            </w:r>
          </w:p>
        </w:tc>
        <w:tc>
          <w:tcPr>
            <w:tcW w:w="283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14EB23AA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1BC3F03A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46E38EC7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22E93A7E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6875B136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C1B00" w:rsidRPr="004F52AE" w14:paraId="44D60F18" w14:textId="77777777" w:rsidTr="008C1B00">
        <w:trPr>
          <w:trHeight w:val="225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042196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5B892AD1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383C7E06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BB8DD1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C320A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19587C6E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Crude</w:t>
            </w:r>
          </w:p>
          <w:p w14:paraId="72AA56C8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D03A29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4E53E1FA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11EAC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42D260B6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Crude</w:t>
            </w:r>
          </w:p>
          <w:p w14:paraId="1BD4F0C0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24BCEE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70E5BB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5D2A06A8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Unexposed</w:t>
            </w:r>
          </w:p>
          <w:p w14:paraId="304E3F10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Cases / Former use </w:t>
            </w:r>
          </w:p>
        </w:tc>
      </w:tr>
      <w:tr w:rsidR="008C1B00" w:rsidRPr="004F52AE" w14:paraId="7B5777DA" w14:textId="77777777" w:rsidTr="004F52AE">
        <w:trPr>
          <w:trHeight w:val="22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0DF418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Unexposed 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5A1789" w14:textId="77777777" w:rsidR="008C1B00" w:rsidRPr="004F52AE" w:rsidRDefault="008C1B00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459BF2" w14:textId="77777777" w:rsidR="008C1B00" w:rsidRPr="004F52AE" w:rsidRDefault="008C1B00" w:rsidP="008C1B00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7C36BC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4C7707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7F409D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DECC7C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890/338 591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*</w:t>
            </w:r>
          </w:p>
        </w:tc>
      </w:tr>
      <w:tr w:rsidR="008C1B00" w:rsidRPr="004F52AE" w14:paraId="0795A37B" w14:textId="77777777" w:rsidTr="004F52AE">
        <w:trPr>
          <w:trHeight w:val="225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659DD8FC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39A1FDF" w14:textId="77777777" w:rsidR="008C1B00" w:rsidRPr="004F52AE" w:rsidRDefault="008C1B00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5B687" w14:textId="77777777" w:rsidR="008C1B00" w:rsidRPr="004F52AE" w:rsidRDefault="008C1B00" w:rsidP="008C1B00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85773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F9ABE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22014D6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CC16DB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897/341 788*</w:t>
            </w:r>
          </w:p>
        </w:tc>
      </w:tr>
      <w:tr w:rsidR="008C1B00" w:rsidRPr="004F52AE" w14:paraId="222CBD4F" w14:textId="77777777" w:rsidTr="004F52AE">
        <w:trPr>
          <w:trHeight w:val="225"/>
        </w:trPr>
        <w:tc>
          <w:tcPr>
            <w:tcW w:w="2268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2AD69F2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Former use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1C62E99" w14:textId="77777777" w:rsidR="008C1B00" w:rsidRPr="004F52AE" w:rsidRDefault="008C1B00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67A93" w14:textId="77777777" w:rsidR="008C1B00" w:rsidRPr="004F52AE" w:rsidRDefault="008C1B00" w:rsidP="008C1B00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92ED1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60AD2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A2714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AA0FCC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18 /5370</w:t>
            </w:r>
          </w:p>
        </w:tc>
      </w:tr>
      <w:tr w:rsidR="008C1B00" w:rsidRPr="004F52AE" w14:paraId="06D91FAD" w14:textId="77777777" w:rsidTr="004F52AE">
        <w:trPr>
          <w:trHeight w:val="225"/>
        </w:trPr>
        <w:tc>
          <w:tcPr>
            <w:tcW w:w="22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673C05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7647C2" w14:textId="77777777" w:rsidR="008C1B00" w:rsidRPr="004F52AE" w:rsidRDefault="008C1B00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ABC34D" w14:textId="77777777" w:rsidR="008C1B00" w:rsidRPr="004F52AE" w:rsidRDefault="008C1B00" w:rsidP="008C1B00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705B7C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7256ED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D8262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FFE3F6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21/6093</w:t>
            </w:r>
          </w:p>
        </w:tc>
      </w:tr>
      <w:tr w:rsidR="008C1B00" w:rsidRPr="004F52AE" w14:paraId="6A72E97F" w14:textId="77777777" w:rsidTr="004F52AE">
        <w:trPr>
          <w:trHeight w:val="70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A0D204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A5B6B2" w14:textId="77777777" w:rsidR="008C1B00" w:rsidRPr="004F52AE" w:rsidRDefault="008C1B00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EC34D" w14:textId="77777777" w:rsidR="008C1B00" w:rsidRPr="004F52AE" w:rsidRDefault="008C1B00" w:rsidP="008C1B00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772588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7B3F7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EFD164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40A7D2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Cases / Exposed</w:t>
            </w:r>
          </w:p>
        </w:tc>
      </w:tr>
      <w:tr w:rsidR="008C1B00" w:rsidRPr="004F52AE" w14:paraId="03974DE4" w14:textId="77777777" w:rsidTr="004F52AE">
        <w:trPr>
          <w:trHeight w:val="7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748E8B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Antidepressant^ (N06A</w:t>
            </w:r>
            <w:r w:rsidRPr="004F52AE"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8D496D" w14:textId="77777777" w:rsidR="008C1B00" w:rsidRPr="004F52AE" w:rsidRDefault="008C1B00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6E020" w14:textId="77777777" w:rsidR="008C1B00" w:rsidRPr="004F52AE" w:rsidRDefault="008C1B00" w:rsidP="008C1B00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1.62 (0.94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2.79)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10D31D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FCED0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1.27 (0.62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2.58)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2DBBC8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89C6AB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13/3060**</w:t>
            </w:r>
          </w:p>
        </w:tc>
      </w:tr>
      <w:tr w:rsidR="008C1B00" w:rsidRPr="004F52AE" w14:paraId="453DE0E1" w14:textId="77777777" w:rsidTr="004F52AE">
        <w:trPr>
          <w:trHeight w:val="225"/>
        </w:trPr>
        <w:tc>
          <w:tcPr>
            <w:tcW w:w="2268" w:type="dxa"/>
            <w:gridSpan w:val="2"/>
            <w:vMerge/>
            <w:shd w:val="clear" w:color="auto" w:fill="auto"/>
          </w:tcPr>
          <w:p w14:paraId="5E93C70B" w14:textId="77777777" w:rsidR="008C1B00" w:rsidRPr="004F52AE" w:rsidRDefault="008C1B00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647D912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5F6CD7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1.74 (1.06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2.85)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00DF6421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1510E862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1.33 (0.69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2.54)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44AFB964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246802BD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16/3503**</w:t>
            </w:r>
          </w:p>
        </w:tc>
      </w:tr>
      <w:tr w:rsidR="008C1B00" w:rsidRPr="004F52AE" w14:paraId="7A7B59C5" w14:textId="77777777" w:rsidTr="004F52AE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71E8F7DE" w14:textId="77777777" w:rsidR="008C1B00" w:rsidRPr="004F52AE" w:rsidRDefault="008C1B00" w:rsidP="008C1B00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17A0194" w14:textId="77777777" w:rsidR="008C1B00" w:rsidRPr="004F52AE" w:rsidRDefault="008C1B00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SSRI^^</w:t>
            </w:r>
            <w:r w:rsidRPr="004F52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(N06AB)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9B3D0C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81A444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1.55 (0.80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2.98)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3E87934E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2ADF90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1.21 (0.55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2.69)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71CF9B69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4489EDFA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9/2216</w:t>
            </w:r>
          </w:p>
        </w:tc>
      </w:tr>
      <w:tr w:rsidR="008C1B00" w:rsidRPr="004F52AE" w14:paraId="28AA864F" w14:textId="77777777" w:rsidTr="004F52AE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692FE57B" w14:textId="77777777" w:rsidR="008C1B00" w:rsidRPr="004F52AE" w:rsidRDefault="008C1B00" w:rsidP="008C1B00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8396E4" w14:textId="77777777" w:rsidR="008C1B00" w:rsidRPr="004F52AE" w:rsidRDefault="008C1B00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C40A8A7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30A61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1.71 (0.94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3.09)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2F01DA85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28EB64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1.30 (0.63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2.69)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3DDB5BAE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235901E5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11/2457</w:t>
            </w:r>
          </w:p>
        </w:tc>
      </w:tr>
      <w:tr w:rsidR="008C1B00" w:rsidRPr="004F52AE" w14:paraId="37C021A6" w14:textId="77777777" w:rsidTr="004F52AE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30EF4F8E" w14:textId="77777777" w:rsidR="008C1B00" w:rsidRPr="004F52AE" w:rsidRDefault="008C1B00" w:rsidP="008C1B00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7CBBFAB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Venlafaxine (N06AX16)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84EF19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D53BBF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2.72 (1.02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7.24)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3B61C190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4B8D7A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2.13 (0.73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6.29)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5D7F44D4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76806C1A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&lt;5/559</w:t>
            </w:r>
          </w:p>
        </w:tc>
      </w:tr>
      <w:tr w:rsidR="008C1B00" w:rsidRPr="004F52AE" w14:paraId="37E83887" w14:textId="77777777" w:rsidTr="004F52AE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60D7AF0D" w14:textId="77777777" w:rsidR="008C1B00" w:rsidRPr="004F52AE" w:rsidRDefault="008C1B00" w:rsidP="008C1B00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636614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4FFDBB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C5E16D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2.80 (1.17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6.73)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1E65DB0E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91745D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2.13 (0.81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5.64)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1B29EA2E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3209AABF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5/680</w:t>
            </w:r>
          </w:p>
        </w:tc>
      </w:tr>
      <w:tr w:rsidR="008C1B00" w:rsidRPr="004F52AE" w14:paraId="16F379E8" w14:textId="77777777" w:rsidTr="004F52AE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62CD7665" w14:textId="77777777" w:rsidR="008C1B00" w:rsidRPr="004F52AE" w:rsidRDefault="008C1B00" w:rsidP="008C1B00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F43FB58" w14:textId="77777777" w:rsidR="008C1B00" w:rsidRPr="004F52AE" w:rsidRDefault="008C1B00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 ^^^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0E6C6E" w14:textId="77777777" w:rsidR="008C1B00" w:rsidRPr="004F52AE" w:rsidRDefault="008C1B00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62B5C4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77E3F924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D9CB37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15607F9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3C7CB333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0/298</w:t>
            </w:r>
          </w:p>
        </w:tc>
      </w:tr>
      <w:tr w:rsidR="008C1B00" w:rsidRPr="004F52AE" w14:paraId="3B630ED6" w14:textId="77777777" w:rsidTr="004F52AE">
        <w:trPr>
          <w:trHeight w:val="225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86C9C" w14:textId="77777777" w:rsidR="008C1B00" w:rsidRPr="004F52AE" w:rsidRDefault="008C1B00" w:rsidP="008C1B00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B6069" w14:textId="77777777" w:rsidR="008C1B00" w:rsidRPr="004F52AE" w:rsidRDefault="008C1B00" w:rsidP="008C1B00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FE5769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C4AFD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857858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696CB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B3C6E2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E19D7A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0/439</w:t>
            </w:r>
          </w:p>
        </w:tc>
      </w:tr>
      <w:tr w:rsidR="008C1B00" w:rsidRPr="004F52AE" w14:paraId="23BF09D7" w14:textId="77777777" w:rsidTr="00D5383E">
        <w:trPr>
          <w:trHeight w:val="225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623D0673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vertAlign w:val="superscript"/>
                <w:lang w:val="en-GB"/>
              </w:rPr>
              <w:t>#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Severe cardiac malformations</w:t>
            </w:r>
          </w:p>
          <w:p w14:paraId="5A2D5A65" w14:textId="77777777" w:rsidR="008C1B00" w:rsidRPr="004F52AE" w:rsidRDefault="008C1B00" w:rsidP="008C1B00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^ AD: Imipramine (N06AA02), clomipramine (N06AA04), amitriptyline (N06AA09), nortriptyline (N06AA10), doxepin (N06AA12), dosulepin (N06AA16),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fluoxetine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(N06AB03),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citalopram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(N06AB04), paroxetine (N06AB05),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sertraline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(N06AB06), fluvoxamine (N06AB08), escitalopram (N06AB10)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, isocarboxazid (N06AF01), nialamide (N06AG02), mianserin (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N06AX03), mirtazapine (N06AX11), bupropion (N06AX12), venlafaxine (N06AX16), reboxetine (N06AX18),</w:t>
            </w:r>
            <w:r w:rsidRPr="004F52A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duloxetine (N06AX21), agomelatine (N06AX22)</w:t>
            </w:r>
          </w:p>
          <w:p w14:paraId="18F1AEC2" w14:textId="77777777" w:rsidR="008C1B00" w:rsidRPr="004F52AE" w:rsidRDefault="008C1B00" w:rsidP="008C1B00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^^ SSRI: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Fluoxetine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(N06AB03),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citalopram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(N06AB04), paroxetine (N06AB05),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sertraline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(N06AB06), fluvoxamine (N06AB08), escitalopram (N06AB10)</w:t>
            </w:r>
          </w:p>
          <w:p w14:paraId="0ACA08B2" w14:textId="77777777" w:rsidR="008C1B00" w:rsidRPr="004F52AE" w:rsidRDefault="008C1B00" w:rsidP="008C1B00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^^^ Other: TCA (N06AA),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isocarboxazid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(N06AF01), 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nialamide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(N06AG02),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mianserin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(N06AX03), mirtazapine (N06AX11), bupropion (N06AX12), duloxetine (N06AX21), agomelatine (N06AX22)</w:t>
            </w:r>
          </w:p>
          <w:p w14:paraId="03BC3B55" w14:textId="77777777" w:rsidR="008C1B00" w:rsidRPr="004F52AE" w:rsidRDefault="008C1B00" w:rsidP="008C1B00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* No former use, no pregnancies with only one redeemed prescription</w:t>
            </w:r>
          </w:p>
          <w:p w14:paraId="673CD4DD" w14:textId="77777777" w:rsidR="008C1B00" w:rsidRPr="004F52AE" w:rsidRDefault="008C1B00" w:rsidP="008C1B00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** The sum of the cases in the subcategories of antidepressants does not add up to the total because cases may contribute to multiple categories</w:t>
            </w:r>
          </w:p>
        </w:tc>
      </w:tr>
    </w:tbl>
    <w:p w14:paraId="70381BD6" w14:textId="2B32048A" w:rsidR="00410AD4" w:rsidRPr="004F52AE" w:rsidRDefault="008C1B00" w:rsidP="00D5383E">
      <w:pPr>
        <w:spacing w:line="276" w:lineRule="auto"/>
        <w:rPr>
          <w:rFonts w:cstheme="minorHAnsi"/>
          <w:bCs/>
          <w:sz w:val="22"/>
          <w:szCs w:val="22"/>
        </w:rPr>
      </w:pPr>
      <w:r w:rsidRPr="00AB6792">
        <w:rPr>
          <w:rFonts w:cstheme="minorHAnsi"/>
          <w:b/>
          <w:sz w:val="22"/>
          <w:szCs w:val="22"/>
        </w:rPr>
        <w:t xml:space="preserve">Table S2. </w:t>
      </w:r>
      <w:r w:rsidRPr="00AB6792">
        <w:rPr>
          <w:rFonts w:cstheme="minorHAnsi"/>
          <w:sz w:val="22"/>
          <w:szCs w:val="22"/>
        </w:rPr>
        <w:t>Exposed restricted to</w:t>
      </w:r>
      <w:r w:rsidRPr="00AB6792">
        <w:rPr>
          <w:rFonts w:cstheme="minorHAnsi"/>
          <w:b/>
          <w:sz w:val="22"/>
          <w:szCs w:val="22"/>
        </w:rPr>
        <w:t xml:space="preserve"> </w:t>
      </w:r>
      <w:r w:rsidRPr="00AB6792">
        <w:rPr>
          <w:rFonts w:cstheme="minorHAnsi"/>
          <w:sz w:val="22"/>
          <w:szCs w:val="22"/>
        </w:rPr>
        <w:t>no use of other psychiatric drugs or teratogens (</w:t>
      </w:r>
      <w:r w:rsidR="004F52AE" w:rsidRPr="00AB6792">
        <w:rPr>
          <w:rFonts w:cstheme="minorHAnsi"/>
          <w:sz w:val="22"/>
          <w:szCs w:val="22"/>
        </w:rPr>
        <w:t>first line</w:t>
      </w:r>
      <w:r w:rsidRPr="00AB6792">
        <w:rPr>
          <w:rFonts w:cstheme="minorHAnsi"/>
          <w:sz w:val="22"/>
          <w:szCs w:val="22"/>
        </w:rPr>
        <w:t xml:space="preserve">; two years prior to conception date, </w:t>
      </w:r>
      <w:r w:rsidR="004F52AE" w:rsidRPr="00AB6792">
        <w:rPr>
          <w:rFonts w:cstheme="minorHAnsi"/>
          <w:sz w:val="22"/>
          <w:szCs w:val="22"/>
        </w:rPr>
        <w:t>second line</w:t>
      </w:r>
      <w:r w:rsidRPr="00AB6792">
        <w:rPr>
          <w:rFonts w:cstheme="minorHAnsi"/>
          <w:sz w:val="22"/>
          <w:szCs w:val="22"/>
        </w:rPr>
        <w:t>; one month prior to conception date throughout first trimester). SCM</w:t>
      </w:r>
      <w:r w:rsidRPr="00AB6792">
        <w:rPr>
          <w:rFonts w:cstheme="minorHAnsi"/>
          <w:sz w:val="22"/>
          <w:szCs w:val="22"/>
          <w:vertAlign w:val="superscript"/>
        </w:rPr>
        <w:t>#</w:t>
      </w:r>
      <w:r w:rsidRPr="00AB6792">
        <w:rPr>
          <w:rFonts w:cstheme="minorHAnsi"/>
          <w:sz w:val="22"/>
          <w:szCs w:val="22"/>
        </w:rPr>
        <w:t xml:space="preserve"> in first trimester exposed (&gt; 2 prescriptions</w:t>
      </w:r>
      <w:r w:rsidRPr="004F52AE">
        <w:rPr>
          <w:rFonts w:cstheme="minorHAnsi"/>
          <w:sz w:val="22"/>
          <w:szCs w:val="22"/>
        </w:rPr>
        <w:t xml:space="preserve">) compared with unexposed and former use. </w:t>
      </w:r>
      <w:r w:rsidR="00410AD4" w:rsidRPr="004F52AE">
        <w:rPr>
          <w:rFonts w:cstheme="minorHAnsi"/>
          <w:bCs/>
          <w:sz w:val="22"/>
          <w:szCs w:val="22"/>
        </w:rPr>
        <w:br w:type="page"/>
      </w:r>
    </w:p>
    <w:p w14:paraId="7D4E1BBB" w14:textId="178B525B" w:rsidR="00B50DDB" w:rsidRPr="004F52AE" w:rsidRDefault="00B50DDB" w:rsidP="00D5383E">
      <w:pPr>
        <w:spacing w:line="276" w:lineRule="auto"/>
        <w:rPr>
          <w:rFonts w:cstheme="minorHAnsi"/>
          <w:sz w:val="22"/>
          <w:szCs w:val="22"/>
        </w:rPr>
      </w:pPr>
      <w:r w:rsidRPr="00AB6792">
        <w:rPr>
          <w:rFonts w:cstheme="minorHAnsi"/>
          <w:b/>
          <w:sz w:val="22"/>
          <w:szCs w:val="22"/>
        </w:rPr>
        <w:lastRenderedPageBreak/>
        <w:t xml:space="preserve">Table S3. </w:t>
      </w:r>
      <w:r w:rsidRPr="00AB6792">
        <w:rPr>
          <w:rFonts w:cstheme="minorHAnsi"/>
          <w:sz w:val="22"/>
          <w:szCs w:val="22"/>
        </w:rPr>
        <w:t xml:space="preserve"> Exposed restricted to</w:t>
      </w:r>
      <w:r w:rsidRPr="00AB6792">
        <w:rPr>
          <w:rFonts w:cstheme="minorHAnsi"/>
          <w:b/>
          <w:sz w:val="22"/>
          <w:szCs w:val="22"/>
        </w:rPr>
        <w:t xml:space="preserve"> </w:t>
      </w:r>
      <w:r w:rsidRPr="00AB6792">
        <w:rPr>
          <w:rFonts w:cstheme="minorHAnsi"/>
          <w:sz w:val="22"/>
          <w:szCs w:val="22"/>
        </w:rPr>
        <w:t>no use of other psychiatric drugs or teratogens (</w:t>
      </w:r>
      <w:r w:rsidR="004F52AE" w:rsidRPr="00AB6792">
        <w:rPr>
          <w:rFonts w:cstheme="minorHAnsi"/>
          <w:sz w:val="22"/>
          <w:szCs w:val="22"/>
        </w:rPr>
        <w:t xml:space="preserve">first line; </w:t>
      </w:r>
      <w:r w:rsidRPr="00AB6792">
        <w:rPr>
          <w:rFonts w:cstheme="minorHAnsi"/>
          <w:sz w:val="22"/>
          <w:szCs w:val="22"/>
        </w:rPr>
        <w:t xml:space="preserve">two years prior to conception date, </w:t>
      </w:r>
      <w:r w:rsidR="004F52AE" w:rsidRPr="00AB6792">
        <w:rPr>
          <w:rFonts w:cstheme="minorHAnsi"/>
          <w:sz w:val="22"/>
          <w:szCs w:val="22"/>
        </w:rPr>
        <w:t>second line;</w:t>
      </w:r>
      <w:r w:rsidRPr="00AB6792">
        <w:rPr>
          <w:rFonts w:cstheme="minorHAnsi"/>
          <w:sz w:val="22"/>
          <w:szCs w:val="22"/>
        </w:rPr>
        <w:t xml:space="preserve"> one month prior to conception date throughout first trimester). Non-SCM</w:t>
      </w:r>
      <w:r w:rsidRPr="00AB6792">
        <w:rPr>
          <w:rFonts w:cstheme="minorHAnsi"/>
          <w:sz w:val="22"/>
          <w:szCs w:val="22"/>
          <w:vertAlign w:val="superscript"/>
        </w:rPr>
        <w:t>#</w:t>
      </w:r>
      <w:r w:rsidRPr="00AB6792">
        <w:rPr>
          <w:rFonts w:cstheme="minorHAnsi"/>
          <w:sz w:val="22"/>
          <w:szCs w:val="22"/>
        </w:rPr>
        <w:t xml:space="preserve"> in first trimester exposed</w:t>
      </w:r>
      <w:bookmarkStart w:id="0" w:name="_GoBack"/>
      <w:bookmarkEnd w:id="0"/>
      <w:r w:rsidRPr="004F52AE">
        <w:rPr>
          <w:rFonts w:cstheme="minorHAnsi"/>
          <w:sz w:val="22"/>
          <w:szCs w:val="22"/>
        </w:rPr>
        <w:t xml:space="preserve"> (</w:t>
      </w:r>
      <w:r w:rsidRPr="004F52AE">
        <w:rPr>
          <w:rFonts w:eastAsia="Baskerville" w:cstheme="minorHAnsi"/>
          <w:sz w:val="22"/>
          <w:szCs w:val="22"/>
          <w:u w:val="single"/>
        </w:rPr>
        <w:t>&gt;</w:t>
      </w:r>
      <w:r w:rsidRPr="004F52AE">
        <w:rPr>
          <w:rFonts w:eastAsia="Baskerville" w:cstheme="minorHAnsi"/>
          <w:sz w:val="22"/>
          <w:szCs w:val="22"/>
        </w:rPr>
        <w:t xml:space="preserve"> 2 prescriptions</w:t>
      </w:r>
      <w:r w:rsidRPr="004F52AE">
        <w:rPr>
          <w:rFonts w:cstheme="minorHAnsi"/>
          <w:sz w:val="22"/>
          <w:szCs w:val="22"/>
        </w:rPr>
        <w:t>) compared with unexposed and former use.</w:t>
      </w:r>
    </w:p>
    <w:tbl>
      <w:tblPr>
        <w:tblStyle w:val="Tabel-Gitter"/>
        <w:tblpPr w:leftFromText="141" w:rightFromText="141" w:vertAnchor="text" w:horzAnchor="margin" w:tblpY="150"/>
        <w:tblW w:w="106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842"/>
        <w:gridCol w:w="284"/>
        <w:gridCol w:w="1417"/>
        <w:gridCol w:w="1418"/>
        <w:gridCol w:w="283"/>
        <w:gridCol w:w="1418"/>
        <w:gridCol w:w="1417"/>
        <w:gridCol w:w="284"/>
        <w:gridCol w:w="1843"/>
      </w:tblGrid>
      <w:tr w:rsidR="00B50DDB" w:rsidRPr="004F52AE" w14:paraId="5609BE63" w14:textId="77777777" w:rsidTr="00D5383E">
        <w:trPr>
          <w:trHeight w:val="751"/>
        </w:trPr>
        <w:tc>
          <w:tcPr>
            <w:tcW w:w="2268" w:type="dxa"/>
            <w:gridSpan w:val="3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6A37DB9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7BF0126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3FE345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0A2A8F1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Exposed </w:t>
            </w:r>
          </w:p>
          <w:p w14:paraId="1DC0935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versus </w:t>
            </w:r>
          </w:p>
          <w:p w14:paraId="7FE1419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unexposed</w:t>
            </w:r>
          </w:p>
        </w:tc>
        <w:tc>
          <w:tcPr>
            <w:tcW w:w="283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7F9E985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02475B4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0685C7F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Exposed </w:t>
            </w:r>
          </w:p>
          <w:p w14:paraId="55558E1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versus </w:t>
            </w:r>
          </w:p>
          <w:p w14:paraId="4E39427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former use</w:t>
            </w:r>
          </w:p>
        </w:tc>
        <w:tc>
          <w:tcPr>
            <w:tcW w:w="2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05B7C7A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7672B47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2981596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624F6BC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1BE5B2D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50DDB" w:rsidRPr="004F52AE" w14:paraId="20AA6EAD" w14:textId="77777777" w:rsidTr="00B50DDB">
        <w:trPr>
          <w:trHeight w:val="225"/>
        </w:trPr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D9BA3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11CA09E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0EE9C92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D7349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940A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4E01F83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3C9B727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Crude</w:t>
            </w:r>
          </w:p>
          <w:p w14:paraId="328383C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2E10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3E608A5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Minimally adjusted ¤</w:t>
            </w:r>
          </w:p>
          <w:p w14:paraId="18A6E9C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62E1B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2A79F75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2472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6C4083C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020B3BC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Crude</w:t>
            </w:r>
          </w:p>
          <w:p w14:paraId="0400679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36EE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 </w:t>
            </w:r>
          </w:p>
          <w:p w14:paraId="1911F98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Minimally adjusted ¤¤</w:t>
            </w:r>
          </w:p>
          <w:p w14:paraId="619EC9C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AEF68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34492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12E701D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433D353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Unexposed</w:t>
            </w:r>
          </w:p>
          <w:p w14:paraId="1E2F891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Former use</w:t>
            </w:r>
          </w:p>
        </w:tc>
      </w:tr>
      <w:tr w:rsidR="00B50DDB" w:rsidRPr="004F52AE" w14:paraId="75C86FD6" w14:textId="77777777" w:rsidTr="004F52AE">
        <w:trPr>
          <w:trHeight w:val="225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64B558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Unexposed 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8DCA49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9619C7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67B72A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EAB83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AA471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76E64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6DC56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39F71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3014/338 588*</w:t>
            </w:r>
          </w:p>
        </w:tc>
      </w:tr>
      <w:tr w:rsidR="00B50DDB" w:rsidRPr="004F52AE" w14:paraId="1FBAF2D4" w14:textId="77777777" w:rsidTr="004F52AE">
        <w:trPr>
          <w:trHeight w:val="225"/>
        </w:trPr>
        <w:tc>
          <w:tcPr>
            <w:tcW w:w="2268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14:paraId="25776013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FAD9224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0CC55BA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A01BB13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72C78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15C868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5A149F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9EBA8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F65CEC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3447/342 185*</w:t>
            </w:r>
          </w:p>
        </w:tc>
      </w:tr>
      <w:tr w:rsidR="00B50DDB" w:rsidRPr="004F52AE" w14:paraId="4983E57C" w14:textId="77777777" w:rsidTr="004F52AE">
        <w:trPr>
          <w:trHeight w:val="225"/>
        </w:trPr>
        <w:tc>
          <w:tcPr>
            <w:tcW w:w="2268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026184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Former use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63EF21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4D98739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825856E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C79C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C5845D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17D448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BB5BB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7BB5A4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58 /5370</w:t>
            </w:r>
          </w:p>
        </w:tc>
      </w:tr>
      <w:tr w:rsidR="00B50DDB" w:rsidRPr="004F52AE" w14:paraId="43A56C43" w14:textId="77777777" w:rsidTr="004F52AE">
        <w:trPr>
          <w:trHeight w:val="225"/>
        </w:trPr>
        <w:tc>
          <w:tcPr>
            <w:tcW w:w="2268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0791A6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6B71B6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F615E0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B22C82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6253E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3A05E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02781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C500A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B64C9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64/6093</w:t>
            </w:r>
          </w:p>
        </w:tc>
      </w:tr>
      <w:tr w:rsidR="00B50DDB" w:rsidRPr="004F52AE" w14:paraId="66A39CDB" w14:textId="77777777" w:rsidTr="004F52AE">
        <w:trPr>
          <w:trHeight w:val="326"/>
        </w:trPr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3728A5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1F27C5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4584A2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FE3369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0726F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6E100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695E3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4F577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DC408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Exposed</w:t>
            </w:r>
          </w:p>
        </w:tc>
      </w:tr>
      <w:tr w:rsidR="00B50DDB" w:rsidRPr="004F52AE" w14:paraId="522EC8D5" w14:textId="77777777" w:rsidTr="004F52AE">
        <w:trPr>
          <w:trHeight w:val="326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C57166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Antidepressant^ (N06A</w:t>
            </w:r>
            <w:r w:rsidRPr="004F52AE"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9C28DB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D80206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1.69 (1.26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2.25)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D256F4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1.66 (1.22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2.24)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5EA00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2D76F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1.39 (0.95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2.04)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39E6C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1.42 (0.97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2.09)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58371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46476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46/3060**</w:t>
            </w:r>
          </w:p>
        </w:tc>
      </w:tr>
      <w:tr w:rsidR="00B50DDB" w:rsidRPr="004F52AE" w14:paraId="2C48B557" w14:textId="77777777" w:rsidTr="004F52AE">
        <w:trPr>
          <w:trHeight w:val="225"/>
        </w:trPr>
        <w:tc>
          <w:tcPr>
            <w:tcW w:w="2268" w:type="dxa"/>
            <w:gridSpan w:val="3"/>
            <w:vMerge/>
            <w:shd w:val="clear" w:color="auto" w:fill="auto"/>
          </w:tcPr>
          <w:p w14:paraId="67DB820C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B18EB10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EA373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1.79 (1.38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2.33)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13624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1.72 (1.31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2.27)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6C1D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1843B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1.52 (1.07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2.17)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EB2DD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1.64 (1.13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2.36)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B0AF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1835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56/3106**</w:t>
            </w:r>
          </w:p>
        </w:tc>
      </w:tr>
      <w:tr w:rsidR="00B50DDB" w:rsidRPr="004F52AE" w14:paraId="00D00AA7" w14:textId="77777777" w:rsidTr="004F52AE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7C61936F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4661F871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TCA^^ (N06AA)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84EF47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1DC43A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7A1CDEE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409FE6F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516D42C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7A71E4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1141C27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2CF2BC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&lt;5/131</w:t>
            </w:r>
          </w:p>
        </w:tc>
      </w:tr>
      <w:tr w:rsidR="00B50DDB" w:rsidRPr="004F52AE" w14:paraId="18B25346" w14:textId="77777777" w:rsidTr="004F52AE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48355E77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4275E51B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E31500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A972D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50A6C99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2991786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4CC4141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94414B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3DC9B0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13566B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&lt;5/178</w:t>
            </w:r>
          </w:p>
        </w:tc>
      </w:tr>
      <w:tr w:rsidR="00B50DDB" w:rsidRPr="004F52AE" w14:paraId="612406C2" w14:textId="77777777" w:rsidTr="004F52AE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0C316146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5D6D80C9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SSRI^^^</w:t>
            </w:r>
            <w:r w:rsidRPr="004F52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(N06AB)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CF28E5D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4C5C7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1.52 (1.06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2.17)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4943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1.48 (1.03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2.14)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537621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8BAF13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1.25 (0.55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2.69)</w:t>
            </w:r>
          </w:p>
        </w:tc>
        <w:tc>
          <w:tcPr>
            <w:tcW w:w="1417" w:type="dxa"/>
            <w:shd w:val="clear" w:color="auto" w:fill="auto"/>
          </w:tcPr>
          <w:p w14:paraId="56C46AD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1.28 (0.83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1.99)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4843020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DB2D86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30/2216</w:t>
            </w:r>
          </w:p>
        </w:tc>
      </w:tr>
      <w:tr w:rsidR="00B50DDB" w:rsidRPr="004F52AE" w14:paraId="3DB8A936" w14:textId="77777777" w:rsidTr="004F52AE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3E24348A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0E0079D6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34EC934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89AE2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1.60 (1.15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2.22)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AD4F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1.53 (1.09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2.15)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57F9473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12F203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1.36 (0.90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2.04)</w:t>
            </w:r>
          </w:p>
        </w:tc>
        <w:tc>
          <w:tcPr>
            <w:tcW w:w="1417" w:type="dxa"/>
            <w:shd w:val="clear" w:color="auto" w:fill="auto"/>
          </w:tcPr>
          <w:p w14:paraId="57F3C02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1.45 (0.95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2.20)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3D1ED69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31BD49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35/2457</w:t>
            </w:r>
          </w:p>
        </w:tc>
      </w:tr>
      <w:tr w:rsidR="00B50DDB" w:rsidRPr="004F52AE" w14:paraId="2DA0481A" w14:textId="77777777" w:rsidTr="004F52AE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70404119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C0E5D08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Fluoxetine (N06AB03)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13ECF8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76EA0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2.86 (1.44 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5.67)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FD7CE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2.76 (1.38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5.50)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58AD08F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13D2F1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2.36 (1.14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4.90)</w:t>
            </w:r>
          </w:p>
        </w:tc>
        <w:tc>
          <w:tcPr>
            <w:tcW w:w="1417" w:type="dxa"/>
            <w:shd w:val="clear" w:color="auto" w:fill="auto"/>
          </w:tcPr>
          <w:p w14:paraId="2345476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2.44 (1.18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5.08)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33D0E20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7D1BC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8/314</w:t>
            </w:r>
          </w:p>
        </w:tc>
      </w:tr>
      <w:tr w:rsidR="00B50DDB" w:rsidRPr="004F52AE" w14:paraId="6BFC5629" w14:textId="77777777" w:rsidTr="004F52AE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78FAC75D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7BF2449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ADFD4C5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F251A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2.47 (1.24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4.91)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31D1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2.33 (1.17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4.66)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1F0597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CA42C9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2.10 (1.01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4.77)</w:t>
            </w:r>
          </w:p>
        </w:tc>
        <w:tc>
          <w:tcPr>
            <w:tcW w:w="1417" w:type="dxa"/>
            <w:shd w:val="clear" w:color="auto" w:fill="auto"/>
          </w:tcPr>
          <w:p w14:paraId="214EEC2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2.29 (1.10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4.77)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BC66B7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61558C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8/363</w:t>
            </w:r>
          </w:p>
        </w:tc>
      </w:tr>
      <w:tr w:rsidR="00B50DDB" w:rsidRPr="004F52AE" w14:paraId="702CA544" w14:textId="77777777" w:rsidTr="004F52AE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4A824ABF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37A51F0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Citalopram (N06AB04)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6A621C8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6AB4F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0.95 (0.49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1.81)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D7A9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0.93 (0.48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1.78)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7044CD4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A84994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0.78 (0.39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1.57)</w:t>
            </w:r>
          </w:p>
        </w:tc>
        <w:tc>
          <w:tcPr>
            <w:tcW w:w="1417" w:type="dxa"/>
            <w:shd w:val="clear" w:color="auto" w:fill="auto"/>
          </w:tcPr>
          <w:p w14:paraId="6BF9FDE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0.79 (0.39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1.60)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708E8C7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7AE98E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9/1068</w:t>
            </w:r>
          </w:p>
        </w:tc>
      </w:tr>
      <w:tr w:rsidR="00B50DDB" w:rsidRPr="004F52AE" w14:paraId="1C32C9A1" w14:textId="77777777" w:rsidTr="004F52AE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7BCD0940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E8DDA8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8C1DD2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60C61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1.17 (0.67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2.06)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9B970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1.13 (0.64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1.99)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17FCBB9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5B5222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0.99 (0.54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1.83)</w:t>
            </w:r>
          </w:p>
        </w:tc>
        <w:tc>
          <w:tcPr>
            <w:tcW w:w="1417" w:type="dxa"/>
            <w:shd w:val="clear" w:color="auto" w:fill="auto"/>
          </w:tcPr>
          <w:p w14:paraId="20EB7ED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1.09 (0.59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2.02)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56DEE0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5522A6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12/1150</w:t>
            </w:r>
          </w:p>
        </w:tc>
      </w:tr>
      <w:tr w:rsidR="00B50DDB" w:rsidRPr="004F52AE" w14:paraId="1F7F0FCC" w14:textId="77777777" w:rsidTr="004F52AE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636DEF24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B7C2720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Sertraline (N06AB06)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4F5B172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A52C7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1.79 (0.94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3.43)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A6D69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1.75 (0.91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3.38)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7A8291F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E27163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1.48 (0.74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2.97)</w:t>
            </w:r>
          </w:p>
        </w:tc>
        <w:tc>
          <w:tcPr>
            <w:tcW w:w="1417" w:type="dxa"/>
            <w:shd w:val="clear" w:color="auto" w:fill="auto"/>
          </w:tcPr>
          <w:p w14:paraId="3C8CE3B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1.49 (0.74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2.99)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907A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77442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9/564</w:t>
            </w:r>
          </w:p>
        </w:tc>
      </w:tr>
      <w:tr w:rsidR="00B50DDB" w:rsidRPr="004F52AE" w14:paraId="492680FA" w14:textId="77777777" w:rsidTr="004F52AE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688DC758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2256AB0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7AB51C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82BE7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1.89 (1.05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3.40)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216D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1.82 (1.01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3.30)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7EC37C7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C89CD5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1.61 (0.85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3.03)</w:t>
            </w:r>
          </w:p>
        </w:tc>
        <w:tc>
          <w:tcPr>
            <w:tcW w:w="1417" w:type="dxa"/>
            <w:shd w:val="clear" w:color="auto" w:fill="auto"/>
          </w:tcPr>
          <w:p w14:paraId="3D96ADB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1.91 (1.00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3.63)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589300A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A8DB35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11/652</w:t>
            </w:r>
          </w:p>
        </w:tc>
      </w:tr>
      <w:tr w:rsidR="00B50DDB" w:rsidRPr="004F52AE" w14:paraId="39C55217" w14:textId="77777777" w:rsidTr="004F52AE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652EC545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E52C8B9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Escitalopram (N06AB10)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8EB472F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16B81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2.32 (0.97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5.52)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A0C79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2.35 (0.98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5.62)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2A1583A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669A14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1.91 (0.77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4.73)</w:t>
            </w:r>
          </w:p>
        </w:tc>
        <w:tc>
          <w:tcPr>
            <w:tcW w:w="1417" w:type="dxa"/>
            <w:shd w:val="clear" w:color="auto" w:fill="auto"/>
          </w:tcPr>
          <w:p w14:paraId="6D5CC5F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2.01 (0.81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4.95)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1B23257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E60270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5/242</w:t>
            </w:r>
          </w:p>
        </w:tc>
      </w:tr>
      <w:tr w:rsidR="00B50DDB" w:rsidRPr="004F52AE" w14:paraId="0228B416" w14:textId="77777777" w:rsidTr="004F52AE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61EB1871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31589F6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5A4CDA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4320A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2.12 (0.89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5.06)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48C89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2.10 (0.87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5.02)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C44108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A3C37B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1.80 (0.73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4.44)</w:t>
            </w:r>
          </w:p>
        </w:tc>
        <w:tc>
          <w:tcPr>
            <w:tcW w:w="1417" w:type="dxa"/>
            <w:shd w:val="clear" w:color="auto" w:fill="auto"/>
          </w:tcPr>
          <w:p w14:paraId="4331FB0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2.11 (0.85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5.21)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F7871C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AB162D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5/264</w:t>
            </w:r>
          </w:p>
        </w:tc>
      </w:tr>
      <w:tr w:rsidR="00B50DDB" w:rsidRPr="004F52AE" w14:paraId="4BF03F47" w14:textId="77777777" w:rsidTr="004F52AE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6E916078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5A2EC971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gramStart"/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</w:t>
            </w:r>
            <w:proofErr w:type="gramEnd"/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AD^^^^ (N06AX)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FF2C98B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2ABD0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2.17 (1.32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3.59)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18B3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2.13 (1.27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3.54)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3A67354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474569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1.79 (1.02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3.15)</w:t>
            </w:r>
          </w:p>
        </w:tc>
        <w:tc>
          <w:tcPr>
            <w:tcW w:w="1417" w:type="dxa"/>
            <w:shd w:val="clear" w:color="auto" w:fill="auto"/>
          </w:tcPr>
          <w:p w14:paraId="1E2A984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1.77 (1.00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3.11)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31FAE5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16FDFF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15/774</w:t>
            </w:r>
          </w:p>
        </w:tc>
      </w:tr>
      <w:tr w:rsidR="00B50DDB" w:rsidRPr="004F52AE" w14:paraId="13FA2EA9" w14:textId="77777777" w:rsidTr="004F52AE">
        <w:trPr>
          <w:trHeight w:val="225"/>
        </w:trPr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5AB86F3E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0907F4D" w14:textId="77777777" w:rsidR="00B50DDB" w:rsidRPr="004F52AE" w:rsidRDefault="00B50DDB" w:rsidP="004F52AE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70AEBF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67ECC64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2.27 (1.45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3.54)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01806DF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2.16 (1.37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3.42)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8399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5196E01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1.93 (1.16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3.20)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41F2C5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2.24 (1.32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3.79)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AF5E87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6E400A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19/939</w:t>
            </w:r>
          </w:p>
        </w:tc>
      </w:tr>
      <w:tr w:rsidR="00B50DDB" w:rsidRPr="004F52AE" w14:paraId="605BF453" w14:textId="77777777" w:rsidTr="004F52AE">
        <w:trPr>
          <w:trHeight w:val="225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CC60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14:paraId="53A538E8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Venlafaxine (N06AX16)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484F1A1" w14:textId="77777777" w:rsidR="00B50DDB" w:rsidRPr="004F52AE" w:rsidRDefault="00B50DDB" w:rsidP="004F52A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B365CB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2.00 (1.08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3.71)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F8EDCC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1.93 (1.03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3.60)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8761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D981CC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1.66 (0.85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3.22)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F962F1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1.63 (0.84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3.17)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F98F21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98C8F2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10/559</w:t>
            </w:r>
          </w:p>
        </w:tc>
      </w:tr>
      <w:tr w:rsidR="00B50DDB" w:rsidRPr="004F52AE" w14:paraId="2FF1D0EE" w14:textId="77777777" w:rsidTr="004F52AE">
        <w:trPr>
          <w:trHeight w:val="225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B9005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3B4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A1468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1B133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1.98 (1.13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3.47)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BDEA7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1.86 (1.05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3.30)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D8D93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128BE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1.68 (0.91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3.10)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8D938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2.00 (1.06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3.76)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626D6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0ADDF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12/680</w:t>
            </w:r>
          </w:p>
        </w:tc>
      </w:tr>
      <w:tr w:rsidR="00B50DDB" w:rsidRPr="004F52AE" w14:paraId="24651070" w14:textId="77777777" w:rsidTr="00D5383E">
        <w:trPr>
          <w:trHeight w:val="225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6AE8F48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vertAlign w:val="superscript"/>
                <w:lang w:val="en-GB"/>
              </w:rPr>
              <w:t>#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Severe cardiac malformations</w:t>
            </w:r>
          </w:p>
          <w:p w14:paraId="05F9D67C" w14:textId="083177FA" w:rsidR="00B50DDB" w:rsidRPr="004F52AE" w:rsidRDefault="00B50DDB" w:rsidP="00B50DDB">
            <w:pP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</w:t>
            </w:r>
            <w:r w:rsidR="008814B9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AD: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ATCs below +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isocarboxazid (N06AF01), nialamide (N06AG02)</w:t>
            </w:r>
          </w:p>
          <w:p w14:paraId="5CA5F4D7" w14:textId="6CD457F5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^^</w:t>
            </w:r>
            <w:r w:rsidR="008814B9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TCA: Imipramine (N06AA02), clomipramine (N06AA04), amitriptyline (N06AA09), nortriptyline (N06AA10), doxepin (N06AA12), dosulepin (N06AA16)</w:t>
            </w:r>
          </w:p>
          <w:p w14:paraId="65AEB2DF" w14:textId="293F3D4E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^^^</w:t>
            </w:r>
            <w:r w:rsidR="008814B9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SSRI: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Fluoxetine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(N06AB03),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citalopram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(N06AB04), paroxetine (N06AB05),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sertraline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(N06AB06), fluvoxamine (N06AB08), escitalopram (N06AB10)</w:t>
            </w:r>
          </w:p>
          <w:p w14:paraId="7A10FBE3" w14:textId="7A1F9101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^^^^</w:t>
            </w:r>
            <w:r w:rsidR="008814B9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Other AD: 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Mianserin (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N06AX03), mirtazapine (N06AX11), bupropion (N06AX12), venlafaxine (N06AX16), reboxetine (N06AX18),</w:t>
            </w:r>
            <w:r w:rsidRPr="004F52A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duloxetine (N06AX21), agomelatine (N06AX22)</w:t>
            </w:r>
          </w:p>
          <w:p w14:paraId="789C1C5C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5"/>
                <w:szCs w:val="15"/>
                <w:lang w:val="en-GB"/>
              </w:rPr>
              <w:t>¤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Adjusted for age, smoking, and depression diagnosis </w:t>
            </w:r>
          </w:p>
          <w:p w14:paraId="17F90104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5"/>
                <w:szCs w:val="15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5"/>
                <w:szCs w:val="15"/>
                <w:lang w:val="en-GB"/>
              </w:rPr>
              <w:t>¤¤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Adjusted for age and smoking </w:t>
            </w:r>
          </w:p>
          <w:p w14:paraId="46A8B937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* No former use, no pregnancies with only one redeemed prescription</w:t>
            </w:r>
          </w:p>
          <w:p w14:paraId="51D646C0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** The sum of the cases in the subcategories of antidepressants does not add up to the total because cases may contribute to multiple categories</w:t>
            </w:r>
          </w:p>
        </w:tc>
      </w:tr>
    </w:tbl>
    <w:p w14:paraId="17BA1BFD" w14:textId="77777777" w:rsidR="00B50DDB" w:rsidRPr="004F52AE" w:rsidRDefault="00B50DDB" w:rsidP="00410AD4">
      <w:pPr>
        <w:spacing w:line="480" w:lineRule="auto"/>
        <w:rPr>
          <w:rFonts w:cstheme="minorHAnsi"/>
          <w:bCs/>
          <w:sz w:val="16"/>
          <w:szCs w:val="16"/>
        </w:rPr>
      </w:pPr>
    </w:p>
    <w:tbl>
      <w:tblPr>
        <w:tblStyle w:val="Tabel-Gitter"/>
        <w:tblpPr w:leftFromText="141" w:rightFromText="141" w:vertAnchor="text" w:horzAnchor="margin" w:tblpY="45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842"/>
        <w:gridCol w:w="284"/>
        <w:gridCol w:w="2268"/>
        <w:gridCol w:w="283"/>
        <w:gridCol w:w="2127"/>
        <w:gridCol w:w="283"/>
        <w:gridCol w:w="2552"/>
      </w:tblGrid>
      <w:tr w:rsidR="00B50DDB" w:rsidRPr="004F52AE" w14:paraId="11735B47" w14:textId="77777777" w:rsidTr="00D5383E">
        <w:trPr>
          <w:trHeight w:val="751"/>
        </w:trPr>
        <w:tc>
          <w:tcPr>
            <w:tcW w:w="2268" w:type="dxa"/>
            <w:gridSpan w:val="3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02AE8E1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7D8E1FB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0635FA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0F59BF5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Exposed </w:t>
            </w:r>
          </w:p>
          <w:p w14:paraId="010F655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versus </w:t>
            </w:r>
          </w:p>
          <w:p w14:paraId="46AFC5E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unexposed</w:t>
            </w:r>
          </w:p>
        </w:tc>
        <w:tc>
          <w:tcPr>
            <w:tcW w:w="283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6047D5B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EDF4FA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1800C3D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Exposed </w:t>
            </w:r>
          </w:p>
          <w:p w14:paraId="7066E69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versus </w:t>
            </w:r>
          </w:p>
          <w:p w14:paraId="36A887D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former use</w:t>
            </w:r>
          </w:p>
        </w:tc>
        <w:tc>
          <w:tcPr>
            <w:tcW w:w="283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7A6F44D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19B1369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3E87045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5CBF134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2953DDD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50DDB" w:rsidRPr="004F52AE" w14:paraId="7758DCF2" w14:textId="77777777" w:rsidTr="00B50DDB">
        <w:trPr>
          <w:trHeight w:val="225"/>
        </w:trPr>
        <w:tc>
          <w:tcPr>
            <w:tcW w:w="226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16D2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2D45AAD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64B7D7F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BE5F59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0BF5F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25E85A5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Crude</w:t>
            </w:r>
          </w:p>
          <w:p w14:paraId="5DDF031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856AE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4C62336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5B8F7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499BFB9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Crude</w:t>
            </w:r>
          </w:p>
          <w:p w14:paraId="001063D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FD2221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0B72AC0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493EE16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Unexposed</w:t>
            </w:r>
          </w:p>
          <w:p w14:paraId="0C5A180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Former use</w:t>
            </w:r>
          </w:p>
        </w:tc>
      </w:tr>
      <w:tr w:rsidR="00B50DDB" w:rsidRPr="004F52AE" w14:paraId="2A06E6E5" w14:textId="77777777" w:rsidTr="00B50DDB">
        <w:trPr>
          <w:trHeight w:val="225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11B4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Unexposed </w:t>
            </w:r>
          </w:p>
          <w:p w14:paraId="3C20A49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Former use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75CB2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BEDB4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  <w:p w14:paraId="202B18D0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3B84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272E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  <w:p w14:paraId="7F1E2D2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818E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00BA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936 /352 553*</w:t>
            </w:r>
          </w:p>
          <w:p w14:paraId="7EEB757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21 /6326</w:t>
            </w:r>
          </w:p>
        </w:tc>
      </w:tr>
      <w:tr w:rsidR="00B50DDB" w:rsidRPr="004F52AE" w14:paraId="793E1F5E" w14:textId="77777777" w:rsidTr="00B50DDB">
        <w:trPr>
          <w:trHeight w:val="225"/>
        </w:trPr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4B8B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BFBA19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31497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49D7F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E38C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0415C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C4996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Cases / Exposed</w:t>
            </w:r>
          </w:p>
        </w:tc>
      </w:tr>
      <w:tr w:rsidR="00B50DDB" w:rsidRPr="004F52AE" w14:paraId="52DA0A66" w14:textId="77777777" w:rsidTr="00B50DDB">
        <w:trPr>
          <w:trHeight w:val="225"/>
        </w:trPr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64B4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Antidepressant^ (N06A</w:t>
            </w:r>
            <w:r w:rsidRPr="004F52AE"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C23BC2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B42F8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1.18</w:t>
            </w:r>
            <w:r w:rsidRPr="004F52A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(0.84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1.65)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C4CE2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49E0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0.95 (0.55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1.62)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CE7A4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3607E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36/11 459**</w:t>
            </w:r>
          </w:p>
        </w:tc>
      </w:tr>
      <w:tr w:rsidR="00B50DDB" w:rsidRPr="004F52AE" w14:paraId="46420D22" w14:textId="77777777" w:rsidTr="00B50DDB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11CDD0F6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FD6220B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SSRI^^</w:t>
            </w:r>
            <w:r w:rsidRPr="004F52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(N06AB)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E4CE1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C26CB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1.10 (0.75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1.63)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25D1A32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6C5CD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0.88 (0.50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1.56)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631955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273C101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26/8887</w:t>
            </w:r>
          </w:p>
        </w:tc>
      </w:tr>
      <w:tr w:rsidR="00B50DDB" w:rsidRPr="004F52AE" w14:paraId="13363D89" w14:textId="77777777" w:rsidTr="00B50DDB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6EFEB5D4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92761C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Fluoxetine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(N06AB03)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C9DFD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9C585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1.78 (0.80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3.97)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78F63F1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DF8A1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1.42 (0.58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3.52)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2FC125F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1FDA428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6/1269</w:t>
            </w:r>
          </w:p>
        </w:tc>
      </w:tr>
      <w:tr w:rsidR="00B50DDB" w:rsidRPr="004F52AE" w14:paraId="032720BC" w14:textId="77777777" w:rsidTr="00B50DDB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22E36F1D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2A63CF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Citalopram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(N06AB04)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43BF7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15D63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1.05 (0.59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1.85)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9C87BA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3BECC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0.83 (0.41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1.70)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54F6D8C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1CE7C96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12/4312</w:t>
            </w:r>
          </w:p>
        </w:tc>
      </w:tr>
      <w:tr w:rsidR="00B50DDB" w:rsidRPr="004F52AE" w14:paraId="4DE16E27" w14:textId="77777777" w:rsidTr="00B50DDB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0F1F8060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C9F92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Escitalopram (N06AB10)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D2737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A4646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2.23 (0.93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5.35)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04AC00B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A4ECF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1.78 (0.67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4.71)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32369D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70A03A1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5/846</w:t>
            </w:r>
          </w:p>
        </w:tc>
      </w:tr>
      <w:tr w:rsidR="00B50DDB" w:rsidRPr="004F52AE" w14:paraId="2030DE73" w14:textId="77777777" w:rsidTr="00B50DDB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5C4BBA4A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03686D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proofErr w:type="gramStart"/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</w:t>
            </w:r>
            <w:proofErr w:type="gramEnd"/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AD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(N06AX)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DFDDC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4B851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1.43 (0.77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2.67)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D3E8C5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9BBC1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1.14 (0.54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2.43)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588C161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1137AE9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10/2632</w:t>
            </w:r>
          </w:p>
        </w:tc>
      </w:tr>
      <w:tr w:rsidR="00B50DDB" w:rsidRPr="004F52AE" w14:paraId="1B3E0DAA" w14:textId="77777777" w:rsidTr="00B50DDB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0DD2993A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34D096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Venlafaxine (N06AX16)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D6FA61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44889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1.39 (0.62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3.10)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339E65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F45B83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1.11 (0.45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2.75)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70B933C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0C0447A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6/1627</w:t>
            </w:r>
          </w:p>
        </w:tc>
      </w:tr>
      <w:tr w:rsidR="00B50DDB" w:rsidRPr="004F52AE" w14:paraId="782FE3B3" w14:textId="77777777" w:rsidTr="00B50DDB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369F027B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D2F0CB7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 ^^^^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1078EC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FCB73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F0D93C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76EBB24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B233E6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221E1C4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&lt;5/658</w:t>
            </w:r>
          </w:p>
        </w:tc>
      </w:tr>
      <w:tr w:rsidR="00B50DDB" w:rsidRPr="004F52AE" w14:paraId="190A0A25" w14:textId="77777777" w:rsidTr="00D5383E">
        <w:trPr>
          <w:trHeight w:val="225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F394B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5E868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31C8C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062D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0BD4A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DEAC82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0CD80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790C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50DDB" w:rsidRPr="004F52AE" w14:paraId="32558268" w14:textId="77777777" w:rsidTr="00D5383E">
        <w:trPr>
          <w:trHeight w:val="225"/>
        </w:trPr>
        <w:tc>
          <w:tcPr>
            <w:tcW w:w="10065" w:type="dxa"/>
            <w:gridSpan w:val="9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3133FDD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vertAlign w:val="superscript"/>
                <w:lang w:val="en-GB"/>
              </w:rPr>
              <w:t>#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Severe cardiac malformations</w:t>
            </w:r>
          </w:p>
          <w:p w14:paraId="329DF720" w14:textId="280AD1FE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</w:t>
            </w:r>
            <w:r w:rsidR="008814B9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AD: Imipramine (N06AA02), clomipramine (N06AA04), amitriptyline (N06AA09), nortriptyline (N06AA10), doxepin (N06AA12), dosulepin (N06AA16),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fluoxetine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(N06AB03),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citalopram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(N06AB04), paroxetine (N06AB05),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sertraline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(N06AB06), fluvoxamine (N06AB08), escitalopram (N06AB10)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, isocarboxazid (N06AF01), nialamide (N06AG02), mianserin (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N06AX03), mirtazapine (N06AX11), bupropion (N06AX12), venlafaxine (N06AX16), reboxetine (N06AX18),</w:t>
            </w:r>
            <w:r w:rsidRPr="004F52A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duloxetine (N06AX21), agomelatine (N06AX22)</w:t>
            </w:r>
          </w:p>
          <w:p w14:paraId="711E4E2E" w14:textId="4226D63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^^</w:t>
            </w:r>
            <w:r w:rsidR="008814B9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SSRI: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Fluoxetine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(N06AB03),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citalopram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(N06AB04), paroxetine (N06AB05),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sertraline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(N06AB06), fluvoxamine (N06AB08), escitalopram (N06AB10)</w:t>
            </w:r>
          </w:p>
          <w:p w14:paraId="32AA2675" w14:textId="66F4C6C2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^^^</w:t>
            </w:r>
            <w:r w:rsidR="008814B9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 AD: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Mianserin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(N06AX03), mirtazapine (N06AX11), bupropion (N06AX12), venlafaxine (N06AX16), reboxetine (N06AX18),</w:t>
            </w:r>
            <w:r w:rsidRPr="004F52A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duloxetine (N06AX21), agomelatine (N06AX22)</w:t>
            </w:r>
          </w:p>
          <w:p w14:paraId="44923823" w14:textId="5779E4F4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^^^^</w:t>
            </w:r>
            <w:r w:rsidR="008814B9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Other: TCA (N06AA),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isocarboxazid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(N06AF01), 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nialamide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(N06AG02)</w:t>
            </w:r>
          </w:p>
          <w:p w14:paraId="38806431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* No former use</w:t>
            </w:r>
          </w:p>
          <w:p w14:paraId="30907E99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** The sum of the cases in the subcategories of antidepressants does not add up to the total because cases may contribute to multiple categories</w:t>
            </w:r>
          </w:p>
        </w:tc>
      </w:tr>
    </w:tbl>
    <w:p w14:paraId="5BBCF819" w14:textId="6A653C57" w:rsidR="00410AD4" w:rsidRPr="004F52AE" w:rsidRDefault="00B50DDB" w:rsidP="00410AD4">
      <w:pPr>
        <w:spacing w:line="480" w:lineRule="auto"/>
        <w:rPr>
          <w:rFonts w:cstheme="minorHAnsi"/>
          <w:bCs/>
          <w:sz w:val="22"/>
          <w:szCs w:val="22"/>
        </w:rPr>
      </w:pPr>
      <w:r w:rsidRPr="004F52AE">
        <w:rPr>
          <w:rFonts w:cstheme="minorHAnsi"/>
          <w:b/>
          <w:sz w:val="22"/>
          <w:szCs w:val="22"/>
        </w:rPr>
        <w:t xml:space="preserve"> Table S4. </w:t>
      </w:r>
      <w:r w:rsidRPr="004F52AE">
        <w:rPr>
          <w:rFonts w:cstheme="minorHAnsi"/>
          <w:sz w:val="22"/>
          <w:szCs w:val="22"/>
        </w:rPr>
        <w:t>SCM</w:t>
      </w:r>
      <w:r w:rsidRPr="004F52AE">
        <w:rPr>
          <w:rFonts w:cstheme="minorHAnsi"/>
          <w:sz w:val="22"/>
          <w:szCs w:val="22"/>
          <w:vertAlign w:val="superscript"/>
        </w:rPr>
        <w:t>#</w:t>
      </w:r>
      <w:r w:rsidRPr="004F52AE">
        <w:rPr>
          <w:rFonts w:cstheme="minorHAnsi"/>
          <w:sz w:val="22"/>
          <w:szCs w:val="22"/>
        </w:rPr>
        <w:t xml:space="preserve"> in first trimester exposed (</w:t>
      </w:r>
      <w:r w:rsidRPr="004F52AE">
        <w:rPr>
          <w:rFonts w:eastAsia="Baskerville" w:cstheme="minorHAnsi"/>
          <w:sz w:val="22"/>
          <w:szCs w:val="22"/>
          <w:u w:val="single"/>
        </w:rPr>
        <w:t>&gt;</w:t>
      </w:r>
      <w:r w:rsidRPr="004F52AE">
        <w:rPr>
          <w:rFonts w:eastAsia="Baskerville" w:cstheme="minorHAnsi"/>
          <w:sz w:val="22"/>
          <w:szCs w:val="22"/>
        </w:rPr>
        <w:t xml:space="preserve"> 1 prescription</w:t>
      </w:r>
      <w:r w:rsidRPr="004F52AE">
        <w:rPr>
          <w:rFonts w:cstheme="minorHAnsi"/>
          <w:sz w:val="22"/>
          <w:szCs w:val="22"/>
        </w:rPr>
        <w:t>) compared to unexposed and former use</w:t>
      </w:r>
      <w:r w:rsidR="00D5383E" w:rsidRPr="004F52AE">
        <w:rPr>
          <w:rFonts w:cstheme="minorHAnsi"/>
          <w:sz w:val="22"/>
          <w:szCs w:val="22"/>
        </w:rPr>
        <w:t>.</w:t>
      </w:r>
      <w:r w:rsidRPr="004F52AE">
        <w:rPr>
          <w:rFonts w:cstheme="minorHAnsi"/>
          <w:bCs/>
          <w:sz w:val="22"/>
          <w:szCs w:val="22"/>
        </w:rPr>
        <w:t xml:space="preserve"> </w:t>
      </w:r>
      <w:r w:rsidR="00410AD4" w:rsidRPr="004F52AE">
        <w:rPr>
          <w:rFonts w:cstheme="minorHAnsi"/>
          <w:bCs/>
          <w:sz w:val="22"/>
          <w:szCs w:val="22"/>
        </w:rPr>
        <w:br w:type="page"/>
      </w:r>
    </w:p>
    <w:tbl>
      <w:tblPr>
        <w:tblStyle w:val="Tabel-Gitter"/>
        <w:tblpPr w:leftFromText="141" w:rightFromText="141" w:vertAnchor="text" w:horzAnchor="margin" w:tblpY="493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842"/>
        <w:gridCol w:w="284"/>
        <w:gridCol w:w="1559"/>
        <w:gridCol w:w="1418"/>
        <w:gridCol w:w="283"/>
        <w:gridCol w:w="1418"/>
        <w:gridCol w:w="1417"/>
        <w:gridCol w:w="284"/>
        <w:gridCol w:w="1559"/>
      </w:tblGrid>
      <w:tr w:rsidR="00B50DDB" w:rsidRPr="004F52AE" w14:paraId="34E06773" w14:textId="77777777" w:rsidTr="00D5383E">
        <w:trPr>
          <w:trHeight w:val="751"/>
        </w:trPr>
        <w:tc>
          <w:tcPr>
            <w:tcW w:w="2268" w:type="dxa"/>
            <w:gridSpan w:val="3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0DA4068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689A991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0DF00ED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4D759E1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Exposed </w:t>
            </w:r>
          </w:p>
          <w:p w14:paraId="343E2E8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versus </w:t>
            </w:r>
          </w:p>
          <w:p w14:paraId="508C7D1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unexposed</w:t>
            </w:r>
          </w:p>
        </w:tc>
        <w:tc>
          <w:tcPr>
            <w:tcW w:w="283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38A69E3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B11525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128FC43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Exposed </w:t>
            </w:r>
          </w:p>
          <w:p w14:paraId="306672D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versus </w:t>
            </w:r>
          </w:p>
          <w:p w14:paraId="654FFF7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former use</w:t>
            </w:r>
          </w:p>
        </w:tc>
        <w:tc>
          <w:tcPr>
            <w:tcW w:w="2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49093B6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02387B7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4BE6568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5E927D5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50DDB" w:rsidRPr="004F52AE" w14:paraId="46A652B3" w14:textId="77777777" w:rsidTr="00B50DDB">
        <w:trPr>
          <w:trHeight w:val="225"/>
        </w:trPr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ED7AA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7486096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552417A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AD1E8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9740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2E6590A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096B3B8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Crude</w:t>
            </w:r>
          </w:p>
          <w:p w14:paraId="71D749E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A6AD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3B22CBF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Minimally adjusted ¤</w:t>
            </w:r>
          </w:p>
          <w:p w14:paraId="40F6E22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4EA07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156F258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FE1F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6A8CC1D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34F4E0F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Crude</w:t>
            </w:r>
          </w:p>
          <w:p w14:paraId="3166723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87AB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 </w:t>
            </w:r>
          </w:p>
          <w:p w14:paraId="0BC8134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Minimally adjusted ¤¤</w:t>
            </w:r>
          </w:p>
          <w:p w14:paraId="1597392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78117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41DD1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5BCB884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2A39071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Unexposed</w:t>
            </w:r>
          </w:p>
          <w:p w14:paraId="68D175E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Former use</w:t>
            </w:r>
          </w:p>
        </w:tc>
      </w:tr>
      <w:tr w:rsidR="00B50DDB" w:rsidRPr="004F52AE" w14:paraId="62CD0FAF" w14:textId="77777777" w:rsidTr="00B50DDB">
        <w:trPr>
          <w:trHeight w:val="225"/>
        </w:trPr>
        <w:tc>
          <w:tcPr>
            <w:tcW w:w="226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BF870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Unexposed 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ACD863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F61FB6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2B6979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7A376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AD1CB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33D40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59DCD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793AA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3184 /352 553*</w:t>
            </w:r>
          </w:p>
        </w:tc>
      </w:tr>
      <w:tr w:rsidR="00B50DDB" w:rsidRPr="004F52AE" w14:paraId="7837BA7A" w14:textId="77777777" w:rsidTr="00B50DDB">
        <w:trPr>
          <w:trHeight w:val="225"/>
        </w:trPr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DF8AA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Former use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D83ACE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54EBF2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EC672D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3EEF0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64DCE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B38F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4584F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0BEAB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65/6326</w:t>
            </w:r>
          </w:p>
        </w:tc>
      </w:tr>
      <w:tr w:rsidR="00B50DDB" w:rsidRPr="004F52AE" w14:paraId="60BA87CA" w14:textId="77777777" w:rsidTr="00B50DDB">
        <w:trPr>
          <w:trHeight w:val="225"/>
        </w:trPr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9D84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EADC4E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2853D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E3407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6EB33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4DEAB3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D5BFD9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1CF0D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5101B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Exposed</w:t>
            </w:r>
          </w:p>
        </w:tc>
      </w:tr>
      <w:tr w:rsidR="00B50DDB" w:rsidRPr="004F52AE" w14:paraId="06AAAC20" w14:textId="77777777" w:rsidTr="00B50DDB">
        <w:trPr>
          <w:trHeight w:val="225"/>
        </w:trPr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83BD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Antidepressant^ (N06A</w:t>
            </w:r>
            <w:r w:rsidRPr="004F52AE"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1C1FFD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3FD03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1.71 (1.47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1.99)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E163C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1.69 (1.43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1.99)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77D3D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D06A2F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1.50 (1.13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1.99)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2A7B37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1.51 (1.14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2.00)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9D3AF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ECFCC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177/11 459**</w:t>
            </w:r>
          </w:p>
        </w:tc>
      </w:tr>
      <w:tr w:rsidR="00B50DDB" w:rsidRPr="004F52AE" w14:paraId="142C0D66" w14:textId="77777777" w:rsidTr="00B50DDB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5C99F9D3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A120851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TCA^^ (N06AA)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0D5DE2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B81FA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2.71 (1.67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4.40)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A377A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2.63 (1.61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4.31)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233212A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302EB2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2.38 (1.39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4.09)</w:t>
            </w:r>
          </w:p>
        </w:tc>
        <w:tc>
          <w:tcPr>
            <w:tcW w:w="1417" w:type="dxa"/>
            <w:shd w:val="clear" w:color="auto" w:fill="auto"/>
          </w:tcPr>
          <w:p w14:paraId="320450D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2.24 (1.30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3.85)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A9E5D3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586ACC4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16/654</w:t>
            </w:r>
          </w:p>
        </w:tc>
      </w:tr>
      <w:tr w:rsidR="00B50DDB" w:rsidRPr="004F52AE" w14:paraId="674E3CD9" w14:textId="77777777" w:rsidTr="00B50DDB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790AC5B6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4FD825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Nortriptyline (N06AA10)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B23D53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B672C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3.76 (2.10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6.73)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EC65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3.63 (2.01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6.57)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50ECB7D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455E66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3.30 (1.76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6.20)</w:t>
            </w:r>
          </w:p>
        </w:tc>
        <w:tc>
          <w:tcPr>
            <w:tcW w:w="1417" w:type="dxa"/>
            <w:shd w:val="clear" w:color="auto" w:fill="auto"/>
          </w:tcPr>
          <w:p w14:paraId="0E75172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3.09 (1.64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5.81)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3D06C25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75A1E6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11/324</w:t>
            </w:r>
          </w:p>
        </w:tc>
      </w:tr>
      <w:tr w:rsidR="00B50DDB" w:rsidRPr="004F52AE" w14:paraId="35BD71D4" w14:textId="77777777" w:rsidTr="00B50DDB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3F813756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B34A44C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SSRI^^^</w:t>
            </w:r>
            <w:r w:rsidRPr="004F52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(N06AB)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8FF17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2E633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1.63 (1.37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1.94)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A1867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1.60 (1.33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1.92)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7BB0F16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E2ACD2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1.43 (1.07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1.93)</w:t>
            </w:r>
          </w:p>
        </w:tc>
        <w:tc>
          <w:tcPr>
            <w:tcW w:w="1417" w:type="dxa"/>
            <w:shd w:val="clear" w:color="auto" w:fill="auto"/>
          </w:tcPr>
          <w:p w14:paraId="5B0CE9A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1.44 (1.07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1.94)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196D2E2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C911AC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131/8887</w:t>
            </w:r>
          </w:p>
        </w:tc>
      </w:tr>
      <w:tr w:rsidR="00B50DDB" w:rsidRPr="004F52AE" w14:paraId="683A3F0E" w14:textId="77777777" w:rsidTr="00B50DDB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3FC49F91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2A5770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Fluoxetine (N06AB03)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6954C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E54DB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2.44 (1.69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3.53)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2A0E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2.36 (1.62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3.43)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4B444FD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6B8616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2.15 (1.38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3.33)</w:t>
            </w:r>
          </w:p>
        </w:tc>
        <w:tc>
          <w:tcPr>
            <w:tcW w:w="1417" w:type="dxa"/>
            <w:shd w:val="clear" w:color="auto" w:fill="auto"/>
          </w:tcPr>
          <w:p w14:paraId="3A7D528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2.15 (1.38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3.33)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74D4FCE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29F6482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28/1269</w:t>
            </w:r>
          </w:p>
        </w:tc>
      </w:tr>
      <w:tr w:rsidR="00B50DDB" w:rsidRPr="004F52AE" w14:paraId="6F2937AE" w14:textId="77777777" w:rsidTr="00B50DDB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1D91DBD9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ABCC8D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Citalopram (N06AB04)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D32A5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0B513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1.41 (1.08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1.84)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8C66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1.37 (1.04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1.79)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422092E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6B0327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1.24 (0.87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1.77)</w:t>
            </w:r>
          </w:p>
        </w:tc>
        <w:tc>
          <w:tcPr>
            <w:tcW w:w="1417" w:type="dxa"/>
            <w:shd w:val="clear" w:color="auto" w:fill="auto"/>
          </w:tcPr>
          <w:p w14:paraId="608D89F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1.23 (0.86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1.76)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30F307E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7681DDD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55/4312</w:t>
            </w:r>
          </w:p>
        </w:tc>
      </w:tr>
      <w:tr w:rsidR="00B50DDB" w:rsidRPr="004F52AE" w14:paraId="20E57FAF" w14:textId="77777777" w:rsidTr="00B50DDB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1B4A0AAB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8810BA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Paroxetine (N06AB05)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8F6517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F136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3.26 (1.71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6.20)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90FF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3.27 (1.71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6.23)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1FA7637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3A0483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2.86 (1.44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5.69)</w:t>
            </w:r>
          </w:p>
        </w:tc>
        <w:tc>
          <w:tcPr>
            <w:tcW w:w="1417" w:type="dxa"/>
            <w:shd w:val="clear" w:color="auto" w:fill="auto"/>
          </w:tcPr>
          <w:p w14:paraId="66FF3A5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2.73 (1.36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5.47)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86E568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6BFB407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9/306</w:t>
            </w:r>
          </w:p>
        </w:tc>
      </w:tr>
      <w:tr w:rsidR="00B50DDB" w:rsidRPr="004F52AE" w14:paraId="780C5211" w14:textId="77777777" w:rsidTr="00B50DDB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1F601DB0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5FBCDB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Sertraline (N06AB06)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4DD082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8FB8C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1.65 (1.21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2.24)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FC17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1.60 (1.16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2.20)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239DEE0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CC0C59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1.45 (0.98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2.14)</w:t>
            </w:r>
          </w:p>
        </w:tc>
        <w:tc>
          <w:tcPr>
            <w:tcW w:w="1417" w:type="dxa"/>
            <w:shd w:val="clear" w:color="auto" w:fill="auto"/>
          </w:tcPr>
          <w:p w14:paraId="0A6A717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1.45 (0.98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2.14)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309033F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2726014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40/2692</w:t>
            </w:r>
          </w:p>
        </w:tc>
      </w:tr>
      <w:tr w:rsidR="00B50DDB" w:rsidRPr="004F52AE" w14:paraId="3BE26CC6" w14:textId="77777777" w:rsidTr="00B50DDB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0BB53C62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DA25C9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Escitalopram (N06AB10)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E873F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B5FD2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1.70 (0.99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2.92)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CEDD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1.66 (0.96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2.86)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13FD784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DFBE91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1.50 (0.83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2.70)</w:t>
            </w:r>
          </w:p>
        </w:tc>
        <w:tc>
          <w:tcPr>
            <w:tcW w:w="1417" w:type="dxa"/>
            <w:shd w:val="clear" w:color="auto" w:fill="auto"/>
          </w:tcPr>
          <w:p w14:paraId="442B465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1.48 (0.82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2.67)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4B36700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2741F5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13/846</w:t>
            </w:r>
          </w:p>
        </w:tc>
      </w:tr>
      <w:tr w:rsidR="00B50DDB" w:rsidRPr="004F52AE" w14:paraId="43EE6963" w14:textId="77777777" w:rsidTr="00B50DDB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7873B58E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A090053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 AD^^^^ (N06AX)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65E2DD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10979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1.94 (1.45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2.58)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93A46A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1.88 (1.39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2.54)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7C17515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597965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1.70 (1.17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2.47)</w:t>
            </w:r>
          </w:p>
        </w:tc>
        <w:tc>
          <w:tcPr>
            <w:tcW w:w="1417" w:type="dxa"/>
            <w:shd w:val="clear" w:color="auto" w:fill="auto"/>
          </w:tcPr>
          <w:p w14:paraId="436EB86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1.68 (1.16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2.46)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9A547D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24C2100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46/2632</w:t>
            </w:r>
          </w:p>
        </w:tc>
      </w:tr>
      <w:tr w:rsidR="00B50DDB" w:rsidRPr="004F52AE" w14:paraId="15CA7079" w14:textId="77777777" w:rsidTr="00B50DDB">
        <w:trPr>
          <w:trHeight w:val="225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2C4DCA51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57469D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Mirtazapine (N06AX11)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3CCFE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01773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2.44 (1.39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4.28)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8253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2.41 (1.37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4.23)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3C8A8D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4011AB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2.15 (1.17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3.95)</w:t>
            </w:r>
          </w:p>
        </w:tc>
        <w:tc>
          <w:tcPr>
            <w:tcW w:w="1417" w:type="dxa"/>
            <w:shd w:val="clear" w:color="auto" w:fill="auto"/>
          </w:tcPr>
          <w:p w14:paraId="596BA31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2.08 (1.13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3.84)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115BBE4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79FBAB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12/544</w:t>
            </w:r>
          </w:p>
        </w:tc>
      </w:tr>
      <w:tr w:rsidR="00B50DDB" w:rsidRPr="004F52AE" w14:paraId="39D1BE87" w14:textId="77777777" w:rsidTr="00D5383E">
        <w:trPr>
          <w:trHeight w:val="225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986B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1A2C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Venlafaxine (N06AX16)</w:t>
            </w:r>
          </w:p>
          <w:p w14:paraId="048F4C2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69E23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118349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1.91 (1.32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2.76)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8A6722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1.81 (1.24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2.65)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702B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AFDC5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1.67 (1.08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2.60)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9A5598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1.63 (1.05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2.54)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768CBB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5CEBD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28/1627</w:t>
            </w:r>
          </w:p>
        </w:tc>
      </w:tr>
      <w:tr w:rsidR="00B50DDB" w:rsidRPr="004F52AE" w14:paraId="384B1F5F" w14:textId="77777777" w:rsidTr="00D5383E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3E8705D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vertAlign w:val="superscript"/>
                <w:lang w:val="en-GB"/>
              </w:rPr>
              <w:t>#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Severe cardiac malformations</w:t>
            </w:r>
          </w:p>
          <w:p w14:paraId="5CF7661D" w14:textId="77777777" w:rsidR="00B50DDB" w:rsidRPr="004F52AE" w:rsidRDefault="00B50DDB" w:rsidP="00B50DDB">
            <w:pP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 AD: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ATCs below +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isocarboxazid (N06AF01), nialamide (N06AG02)</w:t>
            </w:r>
          </w:p>
          <w:p w14:paraId="49807818" w14:textId="77777777" w:rsidR="008814B9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^^</w:t>
            </w:r>
            <w:r w:rsidR="008814B9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TCA: Imipramine (N06AA02), clomipramine (N06AA04), amitriptyline (N06AA09), nortriptyline (N06AA10), doxepin (N06AA12), dosulepin (N06AA16) </w:t>
            </w:r>
          </w:p>
          <w:p w14:paraId="1A15470C" w14:textId="4F35440D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^^^</w:t>
            </w:r>
            <w:r w:rsidR="008814B9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SSRI: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Fluoxetine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(N06AB03),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citalopram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(N06AB04), paroxetine (N06AB05),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sertraline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(N06AB06), fluvoxamine (N06AB08), escitalopram (N06AB10)</w:t>
            </w:r>
          </w:p>
          <w:p w14:paraId="3D53490A" w14:textId="608C1499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^^^^</w:t>
            </w:r>
            <w:r w:rsidR="008814B9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Other AD: 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Mianserin (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N06AX03), mirtazapine (N06AX11), bupropion (N06AX12), venlafaxine (N06AX16), reboxetine (N06AX18),</w:t>
            </w:r>
            <w:r w:rsidRPr="004F52A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duloxetine (N06AX21), agomelatine (N06AX22)</w:t>
            </w:r>
          </w:p>
          <w:p w14:paraId="3F25C885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5"/>
                <w:szCs w:val="15"/>
                <w:lang w:val="en-GB"/>
              </w:rPr>
              <w:t>¤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Adjusted for age, smoking, and depression diagnosis </w:t>
            </w:r>
          </w:p>
          <w:p w14:paraId="278A5F86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5"/>
                <w:szCs w:val="15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5"/>
                <w:szCs w:val="15"/>
                <w:lang w:val="en-GB"/>
              </w:rPr>
              <w:t>¤¤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Adjusted for age and smoking </w:t>
            </w:r>
          </w:p>
          <w:p w14:paraId="027F5CEB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* No former use</w:t>
            </w:r>
          </w:p>
          <w:p w14:paraId="6B1C508D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** The sum of the cases in the subcategories of antidepressants does not add up to the total because cases may contribute to multiple categories </w:t>
            </w:r>
          </w:p>
        </w:tc>
      </w:tr>
    </w:tbl>
    <w:p w14:paraId="30DAD22B" w14:textId="34FF4A84" w:rsidR="00410AD4" w:rsidRPr="004F52AE" w:rsidRDefault="00B50DDB" w:rsidP="00410AD4">
      <w:pPr>
        <w:spacing w:line="480" w:lineRule="auto"/>
        <w:rPr>
          <w:rFonts w:cstheme="minorHAnsi"/>
          <w:bCs/>
          <w:sz w:val="22"/>
          <w:szCs w:val="22"/>
        </w:rPr>
      </w:pPr>
      <w:r w:rsidRPr="004F52AE">
        <w:rPr>
          <w:rFonts w:cstheme="minorHAnsi"/>
          <w:b/>
          <w:sz w:val="22"/>
          <w:szCs w:val="22"/>
        </w:rPr>
        <w:t xml:space="preserve"> Table S5. </w:t>
      </w:r>
      <w:r w:rsidRPr="004F52AE">
        <w:rPr>
          <w:rFonts w:cstheme="minorHAnsi"/>
          <w:sz w:val="22"/>
          <w:szCs w:val="22"/>
        </w:rPr>
        <w:t>Non-SCM</w:t>
      </w:r>
      <w:r w:rsidRPr="004F52AE">
        <w:rPr>
          <w:rFonts w:cstheme="minorHAnsi"/>
          <w:sz w:val="22"/>
          <w:szCs w:val="22"/>
          <w:vertAlign w:val="superscript"/>
        </w:rPr>
        <w:t>#</w:t>
      </w:r>
      <w:r w:rsidRPr="004F52AE">
        <w:rPr>
          <w:rFonts w:cstheme="minorHAnsi"/>
          <w:sz w:val="22"/>
          <w:szCs w:val="22"/>
        </w:rPr>
        <w:t xml:space="preserve"> in first trimester exposed (</w:t>
      </w:r>
      <w:r w:rsidRPr="004F52AE">
        <w:rPr>
          <w:rFonts w:eastAsia="Baskerville" w:cstheme="minorHAnsi"/>
          <w:sz w:val="22"/>
          <w:szCs w:val="22"/>
          <w:u w:val="single"/>
        </w:rPr>
        <w:t>&gt;</w:t>
      </w:r>
      <w:r w:rsidRPr="004F52AE">
        <w:rPr>
          <w:rFonts w:eastAsia="Baskerville" w:cstheme="minorHAnsi"/>
          <w:sz w:val="22"/>
          <w:szCs w:val="22"/>
        </w:rPr>
        <w:t xml:space="preserve"> 1 prescription</w:t>
      </w:r>
      <w:r w:rsidRPr="004F52AE">
        <w:rPr>
          <w:rFonts w:cstheme="minorHAnsi"/>
          <w:sz w:val="22"/>
          <w:szCs w:val="22"/>
        </w:rPr>
        <w:t>) compared with unexposed and former use.</w:t>
      </w:r>
      <w:r w:rsidR="00410AD4" w:rsidRPr="004F52AE">
        <w:rPr>
          <w:rFonts w:cstheme="minorHAnsi"/>
          <w:bCs/>
          <w:sz w:val="22"/>
          <w:szCs w:val="22"/>
        </w:rPr>
        <w:br w:type="page"/>
      </w:r>
    </w:p>
    <w:p w14:paraId="4265C59D" w14:textId="4FA4668A" w:rsidR="002F5BF9" w:rsidRPr="004F52AE" w:rsidRDefault="00B50DDB" w:rsidP="00D5383E">
      <w:pPr>
        <w:spacing w:line="276" w:lineRule="auto"/>
        <w:rPr>
          <w:rFonts w:cstheme="minorHAnsi"/>
          <w:bCs/>
          <w:sz w:val="22"/>
          <w:szCs w:val="22"/>
        </w:rPr>
      </w:pPr>
      <w:r w:rsidRPr="004F52AE">
        <w:rPr>
          <w:rFonts w:cstheme="minorHAnsi"/>
          <w:b/>
          <w:sz w:val="22"/>
          <w:szCs w:val="22"/>
        </w:rPr>
        <w:lastRenderedPageBreak/>
        <w:t>Table S6.</w:t>
      </w:r>
      <w:r w:rsidRPr="004F52AE">
        <w:rPr>
          <w:rFonts w:cstheme="minorHAnsi"/>
          <w:sz w:val="22"/>
          <w:szCs w:val="22"/>
        </w:rPr>
        <w:t xml:space="preserve"> SCM</w:t>
      </w:r>
      <w:r w:rsidRPr="004F52AE">
        <w:rPr>
          <w:rFonts w:cstheme="minorHAnsi"/>
          <w:sz w:val="22"/>
          <w:szCs w:val="22"/>
          <w:vertAlign w:val="superscript"/>
        </w:rPr>
        <w:t>#</w:t>
      </w:r>
      <w:r w:rsidRPr="004F52AE">
        <w:rPr>
          <w:rFonts w:cstheme="minorHAnsi"/>
          <w:sz w:val="22"/>
          <w:szCs w:val="22"/>
        </w:rPr>
        <w:t xml:space="preserve"> of children born alive, first trimester exposed (</w:t>
      </w:r>
      <w:r w:rsidRPr="004F52AE">
        <w:rPr>
          <w:rFonts w:eastAsia="Baskerville" w:cstheme="minorHAnsi"/>
          <w:sz w:val="22"/>
          <w:szCs w:val="22"/>
          <w:u w:val="single"/>
        </w:rPr>
        <w:t>&gt;</w:t>
      </w:r>
      <w:r w:rsidRPr="004F52AE">
        <w:rPr>
          <w:rFonts w:eastAsia="Baskerville" w:cstheme="minorHAnsi"/>
          <w:sz w:val="22"/>
          <w:szCs w:val="22"/>
        </w:rPr>
        <w:t xml:space="preserve"> 2 prescriptions</w:t>
      </w:r>
      <w:r w:rsidRPr="004F52AE">
        <w:rPr>
          <w:rFonts w:cstheme="minorHAnsi"/>
          <w:sz w:val="22"/>
          <w:szCs w:val="22"/>
        </w:rPr>
        <w:t>) compared with unexposed (born alive).</w:t>
      </w:r>
    </w:p>
    <w:tbl>
      <w:tblPr>
        <w:tblStyle w:val="Tabel-Gitter"/>
        <w:tblpPr w:leftFromText="141" w:rightFromText="141" w:vertAnchor="text" w:horzAnchor="margin" w:tblpY="176"/>
        <w:tblW w:w="79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84"/>
        <w:gridCol w:w="2835"/>
        <w:gridCol w:w="283"/>
        <w:gridCol w:w="284"/>
        <w:gridCol w:w="1984"/>
      </w:tblGrid>
      <w:tr w:rsidR="00410AD4" w:rsidRPr="004F52AE" w14:paraId="7ADF70F6" w14:textId="77777777" w:rsidTr="00D5383E">
        <w:trPr>
          <w:trHeight w:val="751"/>
        </w:trPr>
        <w:tc>
          <w:tcPr>
            <w:tcW w:w="2268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7FFE7E54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61415EAA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23D98D3B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6C0BD25E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Exposed </w:t>
            </w:r>
          </w:p>
          <w:p w14:paraId="1C925A5C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versus </w:t>
            </w:r>
          </w:p>
          <w:p w14:paraId="35A138CA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unexposed</w:t>
            </w:r>
          </w:p>
        </w:tc>
        <w:tc>
          <w:tcPr>
            <w:tcW w:w="283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050C6E29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48EAC707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71E230DB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0D792F2F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7D13C7A8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</w:tr>
      <w:tr w:rsidR="00410AD4" w:rsidRPr="004F52AE" w14:paraId="6758C6F2" w14:textId="77777777" w:rsidTr="008C1B00">
        <w:trPr>
          <w:trHeight w:val="225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FD9429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6329E067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5892C4C1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930B30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0F991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7913144D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Crude</w:t>
            </w:r>
          </w:p>
          <w:p w14:paraId="6BFECC00" w14:textId="1B34F7A2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</w:t>
            </w:r>
            <w:r w:rsidR="00A00ED9"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CI)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E509EC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75BA6831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3C0841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5612F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643E0B0F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3B3B2720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Unexposed</w:t>
            </w:r>
          </w:p>
        </w:tc>
      </w:tr>
      <w:tr w:rsidR="00410AD4" w:rsidRPr="004F52AE" w14:paraId="4BFF0325" w14:textId="77777777" w:rsidTr="008C1B00">
        <w:trPr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52753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Unexposed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28D32" w14:textId="77777777" w:rsidR="00410AD4" w:rsidRPr="004F52AE" w:rsidRDefault="00410AD4" w:rsidP="002F5BF9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F7C2D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B88FC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3260E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7CBB6" w14:textId="214D72F3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695/346</w:t>
            </w:r>
            <w:r w:rsidR="00766E07"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227*</w:t>
            </w:r>
          </w:p>
        </w:tc>
      </w:tr>
      <w:tr w:rsidR="00410AD4" w:rsidRPr="004F52AE" w14:paraId="08E2D4AD" w14:textId="77777777" w:rsidTr="008C1B00">
        <w:trPr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8905D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37052B" w14:textId="77777777" w:rsidR="00410AD4" w:rsidRPr="004F52AE" w:rsidRDefault="00410AD4" w:rsidP="002F5BF9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E241A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4BDF5A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C4345F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19EE97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Cases / Exposed</w:t>
            </w:r>
          </w:p>
        </w:tc>
      </w:tr>
      <w:tr w:rsidR="00410AD4" w:rsidRPr="004F52AE" w14:paraId="478A27CA" w14:textId="77777777" w:rsidTr="008C1B00">
        <w:trPr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59EB5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Antidepressant^ (N06A</w:t>
            </w:r>
            <w:r w:rsidRPr="004F52AE"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A63F86" w14:textId="77777777" w:rsidR="00410AD4" w:rsidRPr="004F52AE" w:rsidRDefault="00410AD4" w:rsidP="002F5BF9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FD33E" w14:textId="77777777" w:rsidR="00410AD4" w:rsidRPr="004F52AE" w:rsidRDefault="00410AD4" w:rsidP="002F5BF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1.39 (0.77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2.52)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B7D57B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858EFF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CBB921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11/4105**</w:t>
            </w:r>
          </w:p>
        </w:tc>
      </w:tr>
      <w:tr w:rsidR="00410AD4" w:rsidRPr="004F52AE" w14:paraId="4EEEF09F" w14:textId="77777777" w:rsidTr="008C1B00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1A255371" w14:textId="77777777" w:rsidR="00410AD4" w:rsidRPr="004F52AE" w:rsidRDefault="00410AD4" w:rsidP="002F5BF9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FECE79" w14:textId="77777777" w:rsidR="00410AD4" w:rsidRPr="004F52AE" w:rsidRDefault="00410AD4" w:rsidP="002F5BF9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SSRI^^</w:t>
            </w:r>
            <w:r w:rsidRPr="004F52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(N06AB)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E43C92E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89BFA7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1.87 (1.00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3.48)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648A509E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943AD45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45AEAD0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10/2767</w:t>
            </w:r>
          </w:p>
        </w:tc>
      </w:tr>
      <w:tr w:rsidR="00410AD4" w:rsidRPr="004F52AE" w14:paraId="5E1B71A9" w14:textId="77777777" w:rsidTr="008C1B00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3F91F368" w14:textId="77777777" w:rsidR="00410AD4" w:rsidRPr="004F52AE" w:rsidRDefault="00410AD4" w:rsidP="002F5BF9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33A8FB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Venlafaxine (N06AX16)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1E69AF9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D40A9D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0.62 (0.09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4.40)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2FA7FFCE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5B0D4259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6B7393C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&lt;5/847</w:t>
            </w:r>
          </w:p>
        </w:tc>
      </w:tr>
      <w:tr w:rsidR="00410AD4" w:rsidRPr="004F52AE" w14:paraId="3B0F97B8" w14:textId="77777777" w:rsidTr="00D5383E">
        <w:trPr>
          <w:trHeight w:val="225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44971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26738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Other^^^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9E89CA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618D7EE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0C596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E48FC90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10DD775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0/629</w:t>
            </w:r>
          </w:p>
        </w:tc>
      </w:tr>
      <w:tr w:rsidR="00410AD4" w:rsidRPr="004F52AE" w14:paraId="1B3D890A" w14:textId="77777777" w:rsidTr="00D5383E">
        <w:trPr>
          <w:trHeight w:val="225"/>
        </w:trPr>
        <w:tc>
          <w:tcPr>
            <w:tcW w:w="7938" w:type="dxa"/>
            <w:gridSpan w:val="7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03C3D31" w14:textId="77777777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vertAlign w:val="superscript"/>
                <w:lang w:val="en-GB"/>
              </w:rPr>
              <w:t>#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Severe cardiac malformations</w:t>
            </w:r>
          </w:p>
          <w:p w14:paraId="0204685B" w14:textId="2ACE4D9D" w:rsidR="00410AD4" w:rsidRPr="004F52AE" w:rsidRDefault="00410AD4" w:rsidP="002F5BF9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</w:t>
            </w:r>
            <w:r w:rsidR="004F52AE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AD:  Imipramine (N06AA02), clomipramine (N06AA04), amitriptyline (N06AA09), nortriptyline (N06AA10), doxepin (N06AA12), dosulepin (N06AA16),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fluoxetine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(N06AB03),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citalopram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(N06AB04), paroxetine (N06AB05),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sertraline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(N06AB06), fluvoxamine (N06AB08), escitalopram (N06AB10)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, isocarboxazid (N06AF01), nialamide (N06AG02), mianserin (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N06AX03), mirtazapine (N06AX11), bupropion (N06AX12), venlafaxine (N06AX16), reboxetine (N06AX18),</w:t>
            </w:r>
            <w:r w:rsidRPr="004F52A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duloxetine (N06AX21), agomelatine (N06AX22)</w:t>
            </w:r>
          </w:p>
          <w:p w14:paraId="7E241F94" w14:textId="47844FAF" w:rsidR="00410AD4" w:rsidRPr="004F52AE" w:rsidRDefault="00410AD4" w:rsidP="002F5BF9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^^</w:t>
            </w:r>
            <w:r w:rsidR="004F52AE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SSRI: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Fluoxetine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(N06AB03),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citalopram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(N06AB04), paroxetine (N06AB05),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sertraline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(N06AB06), fluvoxamine (N06AB08), escitalopram (N06AB10)</w:t>
            </w:r>
          </w:p>
          <w:p w14:paraId="4ADC7DA2" w14:textId="39F1C9A3" w:rsidR="00410AD4" w:rsidRPr="004F52AE" w:rsidRDefault="00410AD4" w:rsidP="002F5BF9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^^^</w:t>
            </w:r>
            <w:r w:rsidR="004F52AE"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Other: TCA (N06AA),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isocarboxazid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(N06AF01), 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nialamide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(N06AG02),</w:t>
            </w: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mianserin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(N06AX03), mirtazapine (N06AX11), bupropion (N06AX12), duloxetine (N06AX21), agomelatine (N06AX22)</w:t>
            </w:r>
          </w:p>
          <w:p w14:paraId="07CC8CFE" w14:textId="77777777" w:rsidR="00410AD4" w:rsidRPr="004F52AE" w:rsidRDefault="00410AD4" w:rsidP="002F5BF9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* No former use, no pregnancies with only one redeemed prescription</w:t>
            </w:r>
          </w:p>
          <w:p w14:paraId="4D499748" w14:textId="77777777" w:rsidR="00410AD4" w:rsidRPr="004F52AE" w:rsidRDefault="00410AD4" w:rsidP="002F5BF9">
            <w:pPr>
              <w:spacing w:line="360" w:lineRule="auto"/>
              <w:rPr>
                <w:rFonts w:asciiTheme="minorHAnsi" w:hAnsiTheme="minorHAnsi" w:cstheme="minorHAnsi"/>
                <w:kern w:val="24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** The sum of the cases in the subcategories of antidepressants does not add up to the total because cases may contribute to multiple categories</w:t>
            </w:r>
          </w:p>
        </w:tc>
      </w:tr>
    </w:tbl>
    <w:p w14:paraId="22BEFCFB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13FBF371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43B6E9C0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5B325153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3466D08B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675B33D8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30E0CD05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3B2613B4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3ECEC6E5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1DB10540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2B233BB9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01B6E906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61164339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2E1DDCD1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4AAD191D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6DA9498B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12775BCD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08097628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6E069639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0DBE03AB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4D9F6D72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78367C56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5D4CEBD9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6B00C05E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16E0BC81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46AC5922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5CE45700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3EEA792F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4437E647" w14:textId="77777777" w:rsidR="00410AD4" w:rsidRPr="004F52AE" w:rsidRDefault="00410AD4" w:rsidP="00410AD4">
      <w:pPr>
        <w:spacing w:line="480" w:lineRule="auto"/>
        <w:rPr>
          <w:rFonts w:cstheme="minorHAnsi"/>
          <w:sz w:val="16"/>
          <w:szCs w:val="16"/>
        </w:rPr>
      </w:pPr>
    </w:p>
    <w:p w14:paraId="2F8A0258" w14:textId="77777777" w:rsidR="00410AD4" w:rsidRPr="004F52AE" w:rsidRDefault="00410AD4" w:rsidP="00410AD4">
      <w:pPr>
        <w:spacing w:line="480" w:lineRule="auto"/>
        <w:rPr>
          <w:rFonts w:cstheme="minorHAnsi"/>
          <w:sz w:val="16"/>
          <w:szCs w:val="16"/>
        </w:rPr>
      </w:pPr>
    </w:p>
    <w:p w14:paraId="5C88A78F" w14:textId="48C8C2C7" w:rsidR="00410AD4" w:rsidRPr="004F52AE" w:rsidRDefault="00410AD4" w:rsidP="00410AD4">
      <w:pPr>
        <w:spacing w:line="480" w:lineRule="auto"/>
        <w:rPr>
          <w:rFonts w:cstheme="minorHAnsi"/>
          <w:sz w:val="16"/>
          <w:szCs w:val="16"/>
        </w:rPr>
      </w:pPr>
    </w:p>
    <w:p w14:paraId="58E518B8" w14:textId="77777777" w:rsidR="00D5383E" w:rsidRPr="004F52AE" w:rsidRDefault="00D5383E" w:rsidP="00410AD4">
      <w:pPr>
        <w:spacing w:line="480" w:lineRule="auto"/>
        <w:rPr>
          <w:rFonts w:cstheme="minorHAnsi"/>
          <w:sz w:val="16"/>
          <w:szCs w:val="16"/>
        </w:rPr>
      </w:pPr>
    </w:p>
    <w:p w14:paraId="0190FEA2" w14:textId="77777777" w:rsidR="00410AD4" w:rsidRPr="004F52AE" w:rsidRDefault="00410AD4" w:rsidP="00410AD4">
      <w:pPr>
        <w:spacing w:line="480" w:lineRule="auto"/>
        <w:rPr>
          <w:rFonts w:cstheme="minorHAnsi"/>
          <w:sz w:val="16"/>
          <w:szCs w:val="16"/>
        </w:rPr>
      </w:pPr>
    </w:p>
    <w:p w14:paraId="32852C9F" w14:textId="2D47D3A3" w:rsidR="00410AD4" w:rsidRPr="004F52AE" w:rsidRDefault="00B50DDB" w:rsidP="00410AD4">
      <w:pPr>
        <w:spacing w:line="480" w:lineRule="auto"/>
        <w:rPr>
          <w:rFonts w:cstheme="minorHAnsi"/>
          <w:sz w:val="22"/>
          <w:szCs w:val="22"/>
        </w:rPr>
      </w:pPr>
      <w:r w:rsidRPr="004F52AE">
        <w:rPr>
          <w:rFonts w:cstheme="minorHAnsi"/>
          <w:b/>
          <w:sz w:val="22"/>
          <w:szCs w:val="22"/>
        </w:rPr>
        <w:lastRenderedPageBreak/>
        <w:t>Table S7.</w:t>
      </w:r>
      <w:r w:rsidRPr="004F52AE">
        <w:rPr>
          <w:rFonts w:cstheme="minorHAnsi"/>
          <w:sz w:val="22"/>
          <w:szCs w:val="22"/>
        </w:rPr>
        <w:t xml:space="preserve"> SCM and HLHS in the former use group (</w:t>
      </w:r>
      <w:r w:rsidRPr="004F52AE">
        <w:rPr>
          <w:rFonts w:eastAsia="Baskerville" w:cstheme="minorHAnsi"/>
          <w:sz w:val="22"/>
          <w:szCs w:val="22"/>
          <w:u w:val="single"/>
        </w:rPr>
        <w:t>&gt;</w:t>
      </w:r>
      <w:r w:rsidRPr="004F52AE">
        <w:rPr>
          <w:rFonts w:eastAsia="Baskerville" w:cstheme="minorHAnsi"/>
          <w:sz w:val="22"/>
          <w:szCs w:val="22"/>
        </w:rPr>
        <w:t xml:space="preserve"> 2 prescriptions</w:t>
      </w:r>
      <w:r w:rsidRPr="004F52AE">
        <w:rPr>
          <w:rFonts w:cstheme="minorHAnsi"/>
          <w:sz w:val="22"/>
          <w:szCs w:val="22"/>
        </w:rPr>
        <w:t>) compared with unexposed.</w:t>
      </w:r>
    </w:p>
    <w:tbl>
      <w:tblPr>
        <w:tblStyle w:val="Tabel-Gitter"/>
        <w:tblpPr w:leftFromText="141" w:rightFromText="141" w:vertAnchor="text" w:horzAnchor="margin" w:tblpY="128"/>
        <w:tblW w:w="77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84"/>
        <w:gridCol w:w="2268"/>
        <w:gridCol w:w="283"/>
        <w:gridCol w:w="283"/>
        <w:gridCol w:w="2411"/>
      </w:tblGrid>
      <w:tr w:rsidR="00B50DDB" w:rsidRPr="004F52AE" w14:paraId="6AE50F7B" w14:textId="77777777" w:rsidTr="00D5383E">
        <w:trPr>
          <w:trHeight w:val="751"/>
        </w:trPr>
        <w:tc>
          <w:tcPr>
            <w:tcW w:w="2268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164D0C1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24D6C12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DBDB2D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5183A81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Former use</w:t>
            </w:r>
          </w:p>
          <w:p w14:paraId="42D56CF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versus </w:t>
            </w:r>
          </w:p>
          <w:p w14:paraId="10C18F4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unexposed</w:t>
            </w:r>
          </w:p>
        </w:tc>
        <w:tc>
          <w:tcPr>
            <w:tcW w:w="283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6CA1767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0949D85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70FD753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4686C99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3BF0CDE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20189A5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50DDB" w:rsidRPr="004F52AE" w14:paraId="4E1E9D8C" w14:textId="77777777" w:rsidTr="00B50DDB">
        <w:trPr>
          <w:trHeight w:val="225"/>
        </w:trPr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FDDC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5A3B7A4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36CDBF3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2CA1C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46329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5D10B88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Crude</w:t>
            </w:r>
          </w:p>
          <w:p w14:paraId="6583164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 (95% CI)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ADE2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6329BD75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56275E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1104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  <w:p w14:paraId="144A201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Unexposed “severe”</w:t>
            </w:r>
          </w:p>
          <w:p w14:paraId="7ABD602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Cases / Unexposed HLHS</w:t>
            </w:r>
          </w:p>
        </w:tc>
      </w:tr>
      <w:tr w:rsidR="00B50DDB" w:rsidRPr="004F52AE" w14:paraId="43B46B14" w14:textId="77777777" w:rsidTr="00B50DDB">
        <w:trPr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ED49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Unexposed “severe”</w:t>
            </w:r>
          </w:p>
          <w:p w14:paraId="0D7D3D7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Unexposed HLHS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C4EC2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62F5C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  <w:p w14:paraId="7663AFD0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C52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38BE2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A317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915/346 227*</w:t>
            </w:r>
          </w:p>
          <w:p w14:paraId="5DE8B6A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90/346 581*</w:t>
            </w:r>
          </w:p>
        </w:tc>
      </w:tr>
      <w:tr w:rsidR="00B50DDB" w:rsidRPr="004F52AE" w14:paraId="7285F096" w14:textId="77777777" w:rsidTr="00B50DDB">
        <w:trPr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CB78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98B683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BA19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562A5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A27270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0D2D0B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Cases / Former use</w:t>
            </w:r>
          </w:p>
        </w:tc>
      </w:tr>
      <w:tr w:rsidR="00B50DDB" w:rsidRPr="004F52AE" w14:paraId="66EACE61" w14:textId="77777777" w:rsidTr="00B50DDB">
        <w:trPr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B926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SCM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DCEA51" w14:textId="77777777" w:rsidR="00B50DDB" w:rsidRPr="004F52AE" w:rsidRDefault="00B50DDB" w:rsidP="00B50DDB">
            <w:pPr>
              <w:pStyle w:val="Brdtekst1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5D7ED" w14:textId="77777777" w:rsidR="00B50DDB" w:rsidRPr="004F52AE" w:rsidRDefault="00B50DDB" w:rsidP="00B50DD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1.26 (0.8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1.9)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098946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E404B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96BD59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21/6326</w:t>
            </w:r>
          </w:p>
        </w:tc>
      </w:tr>
      <w:tr w:rsidR="00B50DDB" w:rsidRPr="004F52AE" w14:paraId="6F053635" w14:textId="77777777" w:rsidTr="00B50DDB">
        <w:trPr>
          <w:trHeight w:val="225"/>
        </w:trPr>
        <w:tc>
          <w:tcPr>
            <w:tcW w:w="284" w:type="dxa"/>
            <w:shd w:val="clear" w:color="auto" w:fill="auto"/>
            <w:vAlign w:val="center"/>
          </w:tcPr>
          <w:p w14:paraId="58FC5147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C6FC2A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HLHS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6C4BC44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772A7C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0.58 (0.1</w:t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sym w:font="Symbol" w:char="F02D"/>
            </w:r>
            <w:r w:rsidRPr="004F52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4.2)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2AA5B03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165E74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14:paraId="2D674D17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>&lt;5/6326</w:t>
            </w:r>
          </w:p>
        </w:tc>
      </w:tr>
      <w:tr w:rsidR="00B50DDB" w:rsidRPr="004F52AE" w14:paraId="41BAFE14" w14:textId="77777777" w:rsidTr="00D5383E">
        <w:trPr>
          <w:trHeight w:val="225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D7AB4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91126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F3BCC3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D7C81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BE177D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97D9D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8D2B18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50DDB" w:rsidRPr="004F52AE" w14:paraId="34237182" w14:textId="77777777" w:rsidTr="00D5383E">
        <w:trPr>
          <w:trHeight w:val="225"/>
        </w:trPr>
        <w:tc>
          <w:tcPr>
            <w:tcW w:w="7797" w:type="dxa"/>
            <w:gridSpan w:val="7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DB20E3F" w14:textId="77777777" w:rsidR="00B50DDB" w:rsidRPr="004F52AE" w:rsidRDefault="00B50DDB" w:rsidP="00B50DD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vertAlign w:val="superscript"/>
                <w:lang w:val="en-GB"/>
              </w:rPr>
              <w:t>#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 xml:space="preserve"> Severe cardiac malformations</w:t>
            </w:r>
          </w:p>
          <w:p w14:paraId="72D95D93" w14:textId="77777777" w:rsidR="00B50DDB" w:rsidRPr="004F52AE" w:rsidRDefault="00B50DDB" w:rsidP="00B50DD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HRHS</w:t>
            </w:r>
            <w:r w:rsidRPr="004F52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: Hypoplastic right heart syndrome</w:t>
            </w:r>
          </w:p>
          <w:p w14:paraId="17E7D6AD" w14:textId="77777777" w:rsidR="00B50DDB" w:rsidRPr="004F52AE" w:rsidRDefault="00B50DDB" w:rsidP="00B50DDB">
            <w:pPr>
              <w:pStyle w:val="Brdtekst1"/>
              <w:spacing w:line="360" w:lineRule="auto"/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</w:pPr>
            <w:r w:rsidRPr="004F52AE">
              <w:rPr>
                <w:rFonts w:asciiTheme="minorHAnsi" w:eastAsia="Baskerville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* </w:t>
            </w:r>
            <w:r w:rsidRPr="004F52AE">
              <w:rPr>
                <w:rFonts w:asciiTheme="minorHAnsi" w:eastAsia="Baskerville" w:hAnsiTheme="minorHAnsi" w:cstheme="minorHAnsi"/>
                <w:sz w:val="16"/>
                <w:szCs w:val="16"/>
                <w:lang w:val="en-GB"/>
              </w:rPr>
              <w:t>No former use, no pregnancies with only one redeemed prescription</w:t>
            </w:r>
          </w:p>
        </w:tc>
      </w:tr>
    </w:tbl>
    <w:p w14:paraId="531A79FD" w14:textId="72397E36" w:rsidR="00410AD4" w:rsidRPr="004F52AE" w:rsidRDefault="00410AD4" w:rsidP="00B50DDB">
      <w:pPr>
        <w:spacing w:line="480" w:lineRule="auto"/>
        <w:rPr>
          <w:rFonts w:cstheme="minorHAnsi"/>
          <w:sz w:val="16"/>
          <w:szCs w:val="16"/>
        </w:rPr>
      </w:pPr>
    </w:p>
    <w:p w14:paraId="39C6B60E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30B98689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586AF36F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1A09D5F9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06627379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09F49D69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08477E52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39C5B39B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70881467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2F839E1E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6755B18C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5D894118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75930B82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252D799B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5C9F010E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5AF85671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04191D86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528E4371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36BE34DF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39FF1B4A" w14:textId="77777777" w:rsidR="00410AD4" w:rsidRPr="004F52AE" w:rsidRDefault="00410AD4" w:rsidP="00410AD4">
      <w:pPr>
        <w:spacing w:line="480" w:lineRule="auto"/>
        <w:rPr>
          <w:rFonts w:cstheme="minorHAnsi"/>
          <w:bCs/>
          <w:sz w:val="16"/>
          <w:szCs w:val="16"/>
        </w:rPr>
      </w:pPr>
    </w:p>
    <w:p w14:paraId="3370A05A" w14:textId="77777777" w:rsidR="00410AD4" w:rsidRPr="004F52AE" w:rsidRDefault="00410AD4">
      <w:pPr>
        <w:rPr>
          <w:rFonts w:cstheme="minorHAnsi"/>
        </w:rPr>
      </w:pPr>
    </w:p>
    <w:sectPr w:rsidR="00410AD4" w:rsidRPr="004F52AE" w:rsidSect="0034503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31F6" w14:textId="77777777" w:rsidR="004D748F" w:rsidRDefault="004D748F" w:rsidP="00410AD4">
      <w:r>
        <w:separator/>
      </w:r>
    </w:p>
  </w:endnote>
  <w:endnote w:type="continuationSeparator" w:id="0">
    <w:p w14:paraId="6AB3FC3E" w14:textId="77777777" w:rsidR="004D748F" w:rsidRDefault="004D748F" w:rsidP="004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skerville">
    <w:altName w:val="Cambria Math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ECA9" w14:textId="77777777" w:rsidR="004D748F" w:rsidRDefault="004D748F" w:rsidP="00410AD4">
      <w:r>
        <w:separator/>
      </w:r>
    </w:p>
  </w:footnote>
  <w:footnote w:type="continuationSeparator" w:id="0">
    <w:p w14:paraId="684AC66D" w14:textId="77777777" w:rsidR="004D748F" w:rsidRDefault="004D748F" w:rsidP="0041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E48"/>
    <w:multiLevelType w:val="hybridMultilevel"/>
    <w:tmpl w:val="E93E82A6"/>
    <w:lvl w:ilvl="0" w:tplc="5AD86D6A">
      <w:start w:val="1"/>
      <w:numFmt w:val="bullet"/>
      <w:lvlText w:val=""/>
      <w:lvlJc w:val="left"/>
      <w:pPr>
        <w:ind w:left="720" w:hanging="360"/>
      </w:pPr>
      <w:rPr>
        <w:rFonts w:ascii="Wingdings" w:eastAsia="Baskerville" w:hAnsi="Wingdings" w:cs="Baskervill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7C46"/>
    <w:multiLevelType w:val="hybridMultilevel"/>
    <w:tmpl w:val="C9566E42"/>
    <w:lvl w:ilvl="0" w:tplc="185258B6">
      <w:start w:val="1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6FEE"/>
    <w:multiLevelType w:val="hybridMultilevel"/>
    <w:tmpl w:val="F46691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62F7B"/>
    <w:multiLevelType w:val="hybridMultilevel"/>
    <w:tmpl w:val="9AFE7DF0"/>
    <w:lvl w:ilvl="0" w:tplc="040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10E3"/>
    <w:multiLevelType w:val="hybridMultilevel"/>
    <w:tmpl w:val="4A785DD4"/>
    <w:lvl w:ilvl="0" w:tplc="F88251BE">
      <w:start w:val="3332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1A9F"/>
    <w:multiLevelType w:val="hybridMultilevel"/>
    <w:tmpl w:val="EB7A6D04"/>
    <w:styleLink w:val="Importeretformat1"/>
    <w:lvl w:ilvl="0" w:tplc="C694B7D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F8BFF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70A08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1018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C41C1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FAB48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1854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C44ED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36535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2253ACD"/>
    <w:multiLevelType w:val="hybridMultilevel"/>
    <w:tmpl w:val="EB7A6D04"/>
    <w:numStyleLink w:val="Importeretformat1"/>
  </w:abstractNum>
  <w:abstractNum w:abstractNumId="7" w15:restartNumberingAfterBreak="0">
    <w:nsid w:val="5DAF4843"/>
    <w:multiLevelType w:val="hybridMultilevel"/>
    <w:tmpl w:val="DE2609B0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131C6"/>
    <w:multiLevelType w:val="hybridMultilevel"/>
    <w:tmpl w:val="8C0415F4"/>
    <w:lvl w:ilvl="0" w:tplc="2C4E187C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25181"/>
    <w:multiLevelType w:val="hybridMultilevel"/>
    <w:tmpl w:val="D2D4D0A4"/>
    <w:lvl w:ilvl="0" w:tplc="90408E68">
      <w:start w:val="1"/>
      <w:numFmt w:val="bullet"/>
      <w:lvlText w:val=""/>
      <w:lvlJc w:val="left"/>
      <w:pPr>
        <w:ind w:left="720" w:hanging="360"/>
      </w:pPr>
      <w:rPr>
        <w:rFonts w:ascii="Wingdings" w:eastAsia="Baskerville" w:hAnsi="Wingdings" w:cs="Baskerville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86F86"/>
    <w:multiLevelType w:val="hybridMultilevel"/>
    <w:tmpl w:val="FF40E204"/>
    <w:lvl w:ilvl="0" w:tplc="2C4E187C">
      <w:start w:val="15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54149E"/>
    <w:multiLevelType w:val="hybridMultilevel"/>
    <w:tmpl w:val="4C5E21BC"/>
    <w:lvl w:ilvl="0" w:tplc="55A65B9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72273"/>
    <w:multiLevelType w:val="hybridMultilevel"/>
    <w:tmpl w:val="93D248DA"/>
    <w:lvl w:ilvl="0" w:tplc="49AE0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83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8FC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0E5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C46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678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8F2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3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A56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F0442D2"/>
    <w:multiLevelType w:val="hybridMultilevel"/>
    <w:tmpl w:val="47B08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F09B9"/>
    <w:multiLevelType w:val="hybridMultilevel"/>
    <w:tmpl w:val="2026C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C1D2E"/>
    <w:multiLevelType w:val="hybridMultilevel"/>
    <w:tmpl w:val="C4F2F3E2"/>
    <w:lvl w:ilvl="0" w:tplc="138E8560">
      <w:start w:val="10"/>
      <w:numFmt w:val="bullet"/>
      <w:lvlText w:val="-"/>
      <w:lvlJc w:val="left"/>
      <w:pPr>
        <w:ind w:left="720" w:hanging="360"/>
      </w:pPr>
      <w:rPr>
        <w:rFonts w:ascii="Baskerville" w:eastAsia="Times New Roman" w:hAnsi="Baskervill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F7"/>
    <w:rsid w:val="0002770A"/>
    <w:rsid w:val="00063252"/>
    <w:rsid w:val="00063C88"/>
    <w:rsid w:val="000F4C97"/>
    <w:rsid w:val="00127915"/>
    <w:rsid w:val="001934B4"/>
    <w:rsid w:val="001A66B6"/>
    <w:rsid w:val="001E7780"/>
    <w:rsid w:val="002A1AF6"/>
    <w:rsid w:val="002D0272"/>
    <w:rsid w:val="002F5BF9"/>
    <w:rsid w:val="002F6195"/>
    <w:rsid w:val="00345033"/>
    <w:rsid w:val="0035611E"/>
    <w:rsid w:val="00371EBF"/>
    <w:rsid w:val="003A01C3"/>
    <w:rsid w:val="00410AD4"/>
    <w:rsid w:val="00481420"/>
    <w:rsid w:val="004D6B14"/>
    <w:rsid w:val="004D748F"/>
    <w:rsid w:val="004F52AE"/>
    <w:rsid w:val="004F773B"/>
    <w:rsid w:val="005172B1"/>
    <w:rsid w:val="0059037E"/>
    <w:rsid w:val="005A1B5A"/>
    <w:rsid w:val="005C3160"/>
    <w:rsid w:val="005E0835"/>
    <w:rsid w:val="005E1B3B"/>
    <w:rsid w:val="005E2FB4"/>
    <w:rsid w:val="006955E2"/>
    <w:rsid w:val="006C4263"/>
    <w:rsid w:val="00725CF7"/>
    <w:rsid w:val="00733DEA"/>
    <w:rsid w:val="00753834"/>
    <w:rsid w:val="00766E07"/>
    <w:rsid w:val="007B2A6D"/>
    <w:rsid w:val="008762CD"/>
    <w:rsid w:val="008814B9"/>
    <w:rsid w:val="008C1B00"/>
    <w:rsid w:val="00996248"/>
    <w:rsid w:val="00A00ED9"/>
    <w:rsid w:val="00A65328"/>
    <w:rsid w:val="00A86674"/>
    <w:rsid w:val="00AB6792"/>
    <w:rsid w:val="00B0498E"/>
    <w:rsid w:val="00B40206"/>
    <w:rsid w:val="00B50DDB"/>
    <w:rsid w:val="00B512AE"/>
    <w:rsid w:val="00C32D85"/>
    <w:rsid w:val="00C5535A"/>
    <w:rsid w:val="00C8660A"/>
    <w:rsid w:val="00C97013"/>
    <w:rsid w:val="00D5383E"/>
    <w:rsid w:val="00DF6A3C"/>
    <w:rsid w:val="00E71655"/>
    <w:rsid w:val="00E72E00"/>
    <w:rsid w:val="00E866FE"/>
    <w:rsid w:val="00EC7E28"/>
    <w:rsid w:val="00F434A4"/>
    <w:rsid w:val="00F82E00"/>
    <w:rsid w:val="00F92D20"/>
    <w:rsid w:val="00FC7260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08D50"/>
  <w14:defaultImageDpi w14:val="32767"/>
  <w15:chartTrackingRefBased/>
  <w15:docId w15:val="{7CDA9324-0AE6-3247-A54D-2E512236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0AD4"/>
    <w:pPr>
      <w:keepNext/>
      <w:keepLines/>
      <w:spacing w:before="240" w:after="240"/>
      <w:outlineLvl w:val="0"/>
    </w:pPr>
    <w:rPr>
      <w:rFonts w:ascii="Times New Roman" w:eastAsiaTheme="majorEastAsia" w:hAnsi="Times New Roman" w:cs="Times New Roman"/>
      <w:b/>
      <w:szCs w:val="32"/>
      <w:lang w:val="en-US"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0A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C866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8660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866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66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660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660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660A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10AD4"/>
    <w:rPr>
      <w:rFonts w:ascii="Times New Roman" w:eastAsiaTheme="majorEastAsia" w:hAnsi="Times New Roman" w:cs="Times New Roman"/>
      <w:b/>
      <w:szCs w:val="32"/>
      <w:lang w:val="en-US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0AD4"/>
    <w:rPr>
      <w:rFonts w:asciiTheme="majorHAnsi" w:eastAsiaTheme="majorEastAsia" w:hAnsiTheme="majorHAnsi" w:cstheme="majorBidi"/>
      <w:color w:val="1F3763" w:themeColor="accent1" w:themeShade="7F"/>
      <w:lang w:val="da-DK" w:eastAsia="da-DK"/>
    </w:rPr>
  </w:style>
  <w:style w:type="paragraph" w:styleId="NormalWeb">
    <w:name w:val="Normal (Web)"/>
    <w:basedOn w:val="Normal"/>
    <w:uiPriority w:val="99"/>
    <w:unhideWhenUsed/>
    <w:rsid w:val="00410AD4"/>
    <w:pPr>
      <w:spacing w:before="100" w:beforeAutospacing="1" w:after="100" w:afterAutospacing="1"/>
    </w:pPr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rdtekst1">
    <w:name w:val="Brødtekst1"/>
    <w:link w:val="Brdtekst1Tegn"/>
    <w:rsid w:val="00410A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US" w:eastAsia="da-DK"/>
    </w:rPr>
  </w:style>
  <w:style w:type="paragraph" w:styleId="Listeafsnit">
    <w:name w:val="List Paragraph"/>
    <w:basedOn w:val="Normal"/>
    <w:uiPriority w:val="34"/>
    <w:qFormat/>
    <w:rsid w:val="00410AD4"/>
    <w:pPr>
      <w:ind w:left="720"/>
      <w:contextualSpacing/>
    </w:pPr>
  </w:style>
  <w:style w:type="paragraph" w:styleId="FormateretHTML">
    <w:name w:val="HTML Preformatted"/>
    <w:link w:val="FormateretHTMLTegn"/>
    <w:uiPriority w:val="99"/>
    <w:rsid w:val="00410A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410AD4"/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da-DK" w:eastAsia="da-DK"/>
    </w:rPr>
  </w:style>
  <w:style w:type="numbering" w:customStyle="1" w:styleId="Importeretformat1">
    <w:name w:val="Importeret format 1"/>
    <w:rsid w:val="00410AD4"/>
    <w:pPr>
      <w:numPr>
        <w:numId w:val="2"/>
      </w:numPr>
    </w:pPr>
  </w:style>
  <w:style w:type="table" w:styleId="Tabel-Gitter">
    <w:name w:val="Table Grid"/>
    <w:basedOn w:val="Tabel-Normal"/>
    <w:uiPriority w:val="59"/>
    <w:rsid w:val="00410A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Tegn"/>
    <w:rsid w:val="00410AD4"/>
    <w:pPr>
      <w:jc w:val="center"/>
    </w:pPr>
    <w:rPr>
      <w:rFonts w:ascii="Calibri" w:eastAsia="Arial Unicode MS" w:hAnsi="Calibri" w:cs="Calibri"/>
      <w:color w:val="000000"/>
      <w:u w:color="000000"/>
      <w:bdr w:val="nil"/>
      <w:lang w:val="en-US" w:eastAsia="da-DK"/>
    </w:rPr>
  </w:style>
  <w:style w:type="character" w:customStyle="1" w:styleId="Brdtekst1Tegn">
    <w:name w:val="Brødtekst1 Tegn"/>
    <w:basedOn w:val="Standardskrifttypeiafsnit"/>
    <w:link w:val="Brdtekst1"/>
    <w:rsid w:val="00410AD4"/>
    <w:rPr>
      <w:rFonts w:ascii="Cambria" w:eastAsia="Arial Unicode MS" w:hAnsi="Cambria" w:cs="Arial Unicode MS"/>
      <w:color w:val="000000"/>
      <w:u w:color="000000"/>
      <w:bdr w:val="nil"/>
      <w:lang w:val="en-US" w:eastAsia="da-DK"/>
    </w:rPr>
  </w:style>
  <w:style w:type="character" w:customStyle="1" w:styleId="EndNoteBibliographyTitleTegn">
    <w:name w:val="EndNote Bibliography Title Tegn"/>
    <w:basedOn w:val="Brdtekst1Tegn"/>
    <w:link w:val="EndNoteBibliographyTitle"/>
    <w:rsid w:val="00410AD4"/>
    <w:rPr>
      <w:rFonts w:ascii="Calibri" w:eastAsia="Arial Unicode MS" w:hAnsi="Calibri" w:cs="Calibri"/>
      <w:color w:val="000000"/>
      <w:u w:color="000000"/>
      <w:bdr w:val="nil"/>
      <w:lang w:val="en-US" w:eastAsia="da-DK"/>
    </w:rPr>
  </w:style>
  <w:style w:type="paragraph" w:customStyle="1" w:styleId="EndNoteBibliography">
    <w:name w:val="EndNote Bibliography"/>
    <w:basedOn w:val="Normal"/>
    <w:link w:val="EndNoteBibliographyTegn"/>
    <w:rsid w:val="00410AD4"/>
    <w:rPr>
      <w:rFonts w:ascii="Calibri" w:eastAsia="Arial Unicode MS" w:hAnsi="Calibri" w:cs="Calibri"/>
      <w:color w:val="000000"/>
      <w:u w:color="000000"/>
      <w:bdr w:val="nil"/>
      <w:lang w:val="en-US" w:eastAsia="da-DK"/>
    </w:rPr>
  </w:style>
  <w:style w:type="character" w:customStyle="1" w:styleId="EndNoteBibliographyTegn">
    <w:name w:val="EndNote Bibliography Tegn"/>
    <w:basedOn w:val="Brdtekst1Tegn"/>
    <w:link w:val="EndNoteBibliography"/>
    <w:rsid w:val="00410AD4"/>
    <w:rPr>
      <w:rFonts w:ascii="Calibri" w:eastAsia="Arial Unicode MS" w:hAnsi="Calibri" w:cs="Calibri"/>
      <w:color w:val="000000"/>
      <w:u w:color="000000"/>
      <w:bdr w:val="nil"/>
      <w:lang w:val="en-US" w:eastAsia="da-DK"/>
    </w:rPr>
  </w:style>
  <w:style w:type="paragraph" w:styleId="Sidefod">
    <w:name w:val="footer"/>
    <w:basedOn w:val="Normal"/>
    <w:link w:val="SidefodTegn"/>
    <w:uiPriority w:val="99"/>
    <w:unhideWhenUsed/>
    <w:rsid w:val="00410AD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0AD4"/>
  </w:style>
  <w:style w:type="character" w:styleId="Sidetal">
    <w:name w:val="page number"/>
    <w:basedOn w:val="Standardskrifttypeiafsnit"/>
    <w:uiPriority w:val="99"/>
    <w:semiHidden/>
    <w:unhideWhenUsed/>
    <w:rsid w:val="00410AD4"/>
  </w:style>
  <w:style w:type="paragraph" w:styleId="Brdtekst">
    <w:name w:val="Body Text"/>
    <w:link w:val="BrdtekstTegn"/>
    <w:rsid w:val="00410A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410AD4"/>
    <w:rPr>
      <w:rFonts w:ascii="Times New Roman" w:eastAsia="Arial Unicode MS" w:hAnsi="Times New Roman" w:cs="Arial Unicode MS"/>
      <w:color w:val="000000"/>
      <w:u w:color="000000"/>
      <w:bdr w:val="nil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410AD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0AD4"/>
  </w:style>
  <w:style w:type="paragraph" w:customStyle="1" w:styleId="details">
    <w:name w:val="details"/>
    <w:rsid w:val="00410AD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Times" w:hAnsi="Times" w:cs="Times"/>
      <w:color w:val="000000"/>
      <w:sz w:val="20"/>
      <w:szCs w:val="20"/>
      <w:u w:color="000000"/>
      <w:bdr w:val="nil"/>
      <w:lang w:val="da-DK" w:eastAsia="da-DK"/>
    </w:rPr>
  </w:style>
  <w:style w:type="paragraph" w:customStyle="1" w:styleId="Brdtekst2">
    <w:name w:val="Brødtekst2"/>
    <w:rsid w:val="00410A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US"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410AD4"/>
  </w:style>
  <w:style w:type="paragraph" w:styleId="Korrektur">
    <w:name w:val="Revision"/>
    <w:hidden/>
    <w:uiPriority w:val="99"/>
    <w:semiHidden/>
    <w:rsid w:val="00410AD4"/>
  </w:style>
  <w:style w:type="character" w:styleId="Fremhv">
    <w:name w:val="Emphasis"/>
    <w:basedOn w:val="Standardskrifttypeiafsnit"/>
    <w:uiPriority w:val="20"/>
    <w:qFormat/>
    <w:rsid w:val="00410AD4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10AD4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410AD4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10A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  <w:lang w:val="da-DK"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10AD4"/>
    <w:rPr>
      <w:rFonts w:eastAsiaTheme="minorEastAsia"/>
      <w:color w:val="5A5A5A" w:themeColor="text1" w:themeTint="A5"/>
      <w:spacing w:val="15"/>
      <w:sz w:val="22"/>
      <w:szCs w:val="22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410AD4"/>
    <w:rPr>
      <w:color w:val="954F72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410AD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410AD4"/>
  </w:style>
  <w:style w:type="paragraph" w:styleId="Ingenafstand">
    <w:name w:val="No Spacing"/>
    <w:uiPriority w:val="1"/>
    <w:qFormat/>
    <w:rsid w:val="00410AD4"/>
    <w:rPr>
      <w:rFonts w:ascii="Times New Roman" w:eastAsia="Times New Roman" w:hAnsi="Times New Roman" w:cs="Times New Roman"/>
      <w:lang w:val="da-DK" w:eastAsia="da-DK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41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1914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2021-01-10T09:33:00Z</dcterms:created>
  <dcterms:modified xsi:type="dcterms:W3CDTF">2021-01-10T09:33:00Z</dcterms:modified>
</cp:coreProperties>
</file>