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3640" w:rsidRDefault="00E33640" w:rsidP="00E33640">
      <w:pPr>
        <w:pStyle w:val="Brdtekst1"/>
        <w:spacing w:line="480" w:lineRule="auto"/>
        <w:rPr>
          <w:rFonts w:ascii="Baskerville" w:hAnsi="Baskerville"/>
          <w:b/>
          <w:sz w:val="20"/>
          <w:szCs w:val="20"/>
        </w:rPr>
      </w:pPr>
    </w:p>
    <w:p w:rsidR="00E33640" w:rsidRDefault="00E33640" w:rsidP="00E33640">
      <w:pPr>
        <w:pStyle w:val="Brdtekst1"/>
        <w:spacing w:line="480" w:lineRule="auto"/>
        <w:rPr>
          <w:rFonts w:ascii="Baskerville" w:hAnsi="Baskerville"/>
          <w:b/>
          <w:sz w:val="20"/>
          <w:szCs w:val="20"/>
        </w:rPr>
      </w:pPr>
    </w:p>
    <w:p w:rsidR="00E33640" w:rsidRDefault="00E33640" w:rsidP="00E33640">
      <w:pPr>
        <w:pStyle w:val="Brdtekst1"/>
        <w:spacing w:line="480" w:lineRule="auto"/>
        <w:rPr>
          <w:rFonts w:ascii="Baskerville" w:hAnsi="Baskerville"/>
          <w:b/>
          <w:sz w:val="20"/>
          <w:szCs w:val="20"/>
        </w:rPr>
      </w:pPr>
      <w:r w:rsidRPr="00063C88">
        <w:rPr>
          <w:rFonts w:ascii="Baskerville" w:hAnsi="Baskerville"/>
          <w:noProof/>
          <w:sz w:val="18"/>
          <w:szCs w:val="18"/>
        </w:rPr>
        <w:drawing>
          <wp:inline distT="0" distB="0" distL="0" distR="0" wp14:anchorId="4F0647F2" wp14:editId="3F02DE6A">
            <wp:extent cx="5029200" cy="3657600"/>
            <wp:effectExtent l="12700" t="12700" r="12700" b="1270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33640" w:rsidRPr="008762CD" w:rsidRDefault="00E33640" w:rsidP="00E33640">
      <w:pPr>
        <w:pStyle w:val="Brdtekst1"/>
        <w:spacing w:line="480" w:lineRule="auto"/>
        <w:rPr>
          <w:rFonts w:ascii="Baskerville" w:hAnsi="Baskerville"/>
          <w:sz w:val="18"/>
          <w:szCs w:val="18"/>
        </w:rPr>
      </w:pPr>
      <w:r>
        <w:rPr>
          <w:rFonts w:ascii="Baskerville" w:hAnsi="Baskerville"/>
          <w:b/>
          <w:sz w:val="20"/>
          <w:szCs w:val="20"/>
        </w:rPr>
        <w:t>F</w:t>
      </w:r>
      <w:r w:rsidRPr="00A713E0">
        <w:rPr>
          <w:rFonts w:ascii="Baskerville" w:hAnsi="Baskerville"/>
          <w:b/>
          <w:sz w:val="18"/>
          <w:szCs w:val="18"/>
        </w:rPr>
        <w:t xml:space="preserve">igure </w:t>
      </w:r>
      <w:r>
        <w:rPr>
          <w:rFonts w:ascii="Baskerville" w:hAnsi="Baskerville"/>
          <w:b/>
          <w:sz w:val="18"/>
          <w:szCs w:val="18"/>
        </w:rPr>
        <w:t>S1</w:t>
      </w:r>
      <w:r w:rsidRPr="00A713E0">
        <w:rPr>
          <w:rFonts w:ascii="Baskerville" w:hAnsi="Baskerville"/>
          <w:b/>
          <w:sz w:val="18"/>
          <w:szCs w:val="18"/>
        </w:rPr>
        <w:t xml:space="preserve">. </w:t>
      </w:r>
      <w:r w:rsidRPr="00006792">
        <w:rPr>
          <w:rFonts w:ascii="Baskerville" w:hAnsi="Baskerville"/>
          <w:sz w:val="18"/>
          <w:szCs w:val="18"/>
        </w:rPr>
        <w:t>Time line of conception year</w:t>
      </w:r>
      <w:r w:rsidRPr="00006792">
        <w:rPr>
          <w:rFonts w:ascii="Baskerville" w:hAnsi="Baskerville"/>
          <w:b/>
          <w:sz w:val="18"/>
          <w:szCs w:val="18"/>
        </w:rPr>
        <w:t xml:space="preserve"> </w:t>
      </w:r>
      <w:r w:rsidRPr="00006792">
        <w:rPr>
          <w:rFonts w:ascii="Baskerville" w:hAnsi="Baskerville"/>
          <w:sz w:val="18"/>
          <w:szCs w:val="18"/>
        </w:rPr>
        <w:t xml:space="preserve">and </w:t>
      </w:r>
      <w:r>
        <w:rPr>
          <w:rFonts w:ascii="Baskerville" w:hAnsi="Baskerville"/>
          <w:sz w:val="18"/>
          <w:szCs w:val="18"/>
        </w:rPr>
        <w:t xml:space="preserve">non-severe cardiac malformations (non-SCM) </w:t>
      </w:r>
      <w:r w:rsidRPr="00006792">
        <w:rPr>
          <w:rFonts w:ascii="Baskerville" w:hAnsi="Baskerville"/>
          <w:sz w:val="18"/>
          <w:szCs w:val="18"/>
        </w:rPr>
        <w:t>divided by specific cardiac malformations with h</w:t>
      </w:r>
      <w:r w:rsidRPr="00006792">
        <w:rPr>
          <w:rFonts w:ascii="Baskerville" w:hAnsi="Baskerville" w:cs="Baskerville"/>
          <w:sz w:val="18"/>
          <w:szCs w:val="18"/>
        </w:rPr>
        <w:t>ierarchy of: HLHS&gt;HRHS&gt;</w:t>
      </w:r>
      <w:proofErr w:type="spellStart"/>
      <w:r w:rsidRPr="00006792">
        <w:rPr>
          <w:rFonts w:ascii="Baskerville" w:hAnsi="Baskerville" w:cs="Baskerville"/>
          <w:sz w:val="18"/>
          <w:szCs w:val="18"/>
        </w:rPr>
        <w:t>ToF</w:t>
      </w:r>
      <w:proofErr w:type="spellEnd"/>
      <w:r w:rsidRPr="00006792">
        <w:rPr>
          <w:rFonts w:ascii="Baskerville" w:hAnsi="Baskerville" w:cs="Baskerville"/>
          <w:sz w:val="18"/>
          <w:szCs w:val="18"/>
        </w:rPr>
        <w:t xml:space="preserve">&gt;DORV&gt;CoA&gt;AVSD&gt;VSD&gt;ASD&gt;other, </w:t>
      </w:r>
      <w:r w:rsidRPr="00006792">
        <w:rPr>
          <w:rFonts w:ascii="Baskerville" w:hAnsi="Baskerville"/>
          <w:sz w:val="18"/>
          <w:szCs w:val="18"/>
        </w:rPr>
        <w:t>each fetus or child has contributed only once.</w:t>
      </w:r>
      <w:r>
        <w:rPr>
          <w:rFonts w:ascii="Baskerville" w:hAnsi="Baskerville"/>
          <w:sz w:val="18"/>
          <w:szCs w:val="18"/>
        </w:rPr>
        <w:t xml:space="preserve"> </w:t>
      </w:r>
      <w:r w:rsidRPr="00006792">
        <w:rPr>
          <w:rFonts w:ascii="Baskerville" w:hAnsi="Baskerville" w:cs="Baskerville"/>
          <w:sz w:val="18"/>
          <w:szCs w:val="18"/>
        </w:rPr>
        <w:t>Hierarchy of diagnoses: postnatal&gt;prenatal if difference between postnatal and prenatal (with exception of diagnoses without further specification)</w:t>
      </w:r>
      <w:r>
        <w:rPr>
          <w:rFonts w:ascii="Baskerville" w:hAnsi="Baskerville" w:cs="Baskerville"/>
          <w:sz w:val="18"/>
          <w:szCs w:val="18"/>
        </w:rPr>
        <w:t>.</w:t>
      </w:r>
      <w:r w:rsidRPr="00006792">
        <w:rPr>
          <w:rFonts w:ascii="Baskerville" w:hAnsi="Baskerville" w:cs="Baskerville"/>
          <w:sz w:val="18"/>
          <w:szCs w:val="18"/>
        </w:rPr>
        <w:t xml:space="preserve">  HLHS: Hypoplastic left heart syndrome. </w:t>
      </w:r>
      <w:r w:rsidRPr="00006792">
        <w:rPr>
          <w:rFonts w:ascii="Baskerville" w:hAnsi="Baskerville"/>
          <w:bCs/>
          <w:sz w:val="18"/>
          <w:szCs w:val="18"/>
        </w:rPr>
        <w:t>HRHS</w:t>
      </w:r>
      <w:r w:rsidRPr="00006792">
        <w:rPr>
          <w:rFonts w:ascii="Baskerville" w:hAnsi="Baskerville" w:cs="Baskerville"/>
          <w:sz w:val="18"/>
          <w:szCs w:val="18"/>
        </w:rPr>
        <w:t xml:space="preserve">: Hypoplastic right heart syndrome. </w:t>
      </w:r>
      <w:proofErr w:type="spellStart"/>
      <w:r w:rsidRPr="00006792">
        <w:rPr>
          <w:rFonts w:ascii="Baskerville" w:hAnsi="Baskerville" w:cs="Baskerville"/>
          <w:sz w:val="18"/>
          <w:szCs w:val="18"/>
        </w:rPr>
        <w:t>ToF</w:t>
      </w:r>
      <w:proofErr w:type="spellEnd"/>
      <w:r w:rsidRPr="00006792">
        <w:rPr>
          <w:rFonts w:ascii="Baskerville" w:hAnsi="Baskerville" w:cs="Baskerville"/>
          <w:sz w:val="18"/>
          <w:szCs w:val="18"/>
        </w:rPr>
        <w:t>: Tetralogy of Fallot</w:t>
      </w:r>
      <w:r w:rsidRPr="00006792">
        <w:rPr>
          <w:rFonts w:ascii="Baskerville" w:hAnsi="Baskerville"/>
          <w:bCs/>
          <w:sz w:val="18"/>
          <w:szCs w:val="18"/>
        </w:rPr>
        <w:t xml:space="preserve">. </w:t>
      </w:r>
      <w:r w:rsidRPr="00006792">
        <w:rPr>
          <w:rFonts w:ascii="Baskerville" w:hAnsi="Baskerville" w:cs="Baskerville"/>
          <w:sz w:val="18"/>
          <w:szCs w:val="18"/>
        </w:rPr>
        <w:t>DORV: Double outlet right ventricle. CoA: Coarctation of aorta</w:t>
      </w:r>
      <w:r w:rsidRPr="00006792">
        <w:rPr>
          <w:rFonts w:ascii="Baskerville" w:hAnsi="Baskerville"/>
          <w:bCs/>
          <w:sz w:val="18"/>
          <w:szCs w:val="18"/>
        </w:rPr>
        <w:t xml:space="preserve">. </w:t>
      </w:r>
      <w:r w:rsidRPr="00006792">
        <w:rPr>
          <w:rFonts w:ascii="Baskerville" w:hAnsi="Baskerville" w:cs="Baskerville"/>
          <w:sz w:val="18"/>
          <w:szCs w:val="18"/>
        </w:rPr>
        <w:t>AVSD: Atrioventricular septal defect. VSD: Ventricular septal defect</w:t>
      </w:r>
      <w:r w:rsidRPr="00006792">
        <w:rPr>
          <w:rFonts w:ascii="Baskerville" w:hAnsi="Baskerville"/>
          <w:bCs/>
          <w:sz w:val="18"/>
          <w:szCs w:val="18"/>
        </w:rPr>
        <w:t xml:space="preserve">. </w:t>
      </w:r>
      <w:r w:rsidRPr="00006792">
        <w:rPr>
          <w:rFonts w:ascii="Baskerville" w:hAnsi="Baskerville" w:cs="Baskerville"/>
          <w:sz w:val="18"/>
          <w:szCs w:val="18"/>
        </w:rPr>
        <w:t xml:space="preserve">ASD: Atrial septal defect </w:t>
      </w:r>
    </w:p>
    <w:p w:rsidR="00E33640" w:rsidRPr="00A713E0" w:rsidRDefault="00E33640" w:rsidP="00E33640">
      <w:pPr>
        <w:spacing w:line="480" w:lineRule="auto"/>
        <w:rPr>
          <w:rFonts w:ascii="Baskerville" w:hAnsi="Baskerville"/>
          <w:sz w:val="20"/>
          <w:szCs w:val="20"/>
          <w:lang w:val="en-US"/>
        </w:rPr>
      </w:pPr>
    </w:p>
    <w:p w:rsidR="00E33640" w:rsidRDefault="00E33640" w:rsidP="00E33640">
      <w:pPr>
        <w:spacing w:line="480" w:lineRule="auto"/>
        <w:rPr>
          <w:rFonts w:ascii="Baskerville" w:hAnsi="Baskerville"/>
          <w:sz w:val="18"/>
          <w:szCs w:val="18"/>
          <w:lang w:val="en-US"/>
        </w:rPr>
      </w:pPr>
    </w:p>
    <w:p w:rsidR="00E33640" w:rsidRDefault="00E33640" w:rsidP="00E33640">
      <w:pPr>
        <w:spacing w:line="480" w:lineRule="auto"/>
        <w:rPr>
          <w:rFonts w:ascii="Baskerville" w:hAnsi="Baskerville"/>
          <w:sz w:val="18"/>
          <w:szCs w:val="18"/>
          <w:lang w:val="en-US"/>
        </w:rPr>
      </w:pPr>
    </w:p>
    <w:p w:rsidR="00E33640" w:rsidRDefault="00E33640" w:rsidP="00E33640">
      <w:pPr>
        <w:spacing w:line="480" w:lineRule="auto"/>
        <w:rPr>
          <w:rFonts w:ascii="Baskerville" w:hAnsi="Baskerville"/>
          <w:sz w:val="18"/>
          <w:szCs w:val="18"/>
          <w:lang w:val="en-US"/>
        </w:rPr>
      </w:pPr>
    </w:p>
    <w:p w:rsidR="00E33640" w:rsidRDefault="00E33640" w:rsidP="00E33640">
      <w:pPr>
        <w:spacing w:line="480" w:lineRule="auto"/>
        <w:rPr>
          <w:rFonts w:ascii="Baskerville" w:hAnsi="Baskerville"/>
          <w:sz w:val="18"/>
          <w:szCs w:val="18"/>
          <w:lang w:val="en-US"/>
        </w:rPr>
      </w:pPr>
    </w:p>
    <w:p w:rsidR="00E33640" w:rsidRDefault="00E33640" w:rsidP="00E33640">
      <w:pPr>
        <w:spacing w:line="480" w:lineRule="auto"/>
        <w:rPr>
          <w:rFonts w:ascii="Baskerville" w:hAnsi="Baskerville"/>
          <w:sz w:val="18"/>
          <w:szCs w:val="18"/>
          <w:lang w:val="en-US"/>
        </w:rPr>
      </w:pPr>
    </w:p>
    <w:p w:rsidR="00E33640" w:rsidRDefault="00E33640" w:rsidP="00E33640">
      <w:pPr>
        <w:spacing w:line="480" w:lineRule="auto"/>
        <w:rPr>
          <w:rFonts w:ascii="Baskerville" w:hAnsi="Baskerville"/>
          <w:sz w:val="18"/>
          <w:szCs w:val="18"/>
          <w:lang w:val="en-US"/>
        </w:rPr>
      </w:pPr>
    </w:p>
    <w:p w:rsidR="00E33640" w:rsidRDefault="00E33640" w:rsidP="00E33640">
      <w:pPr>
        <w:spacing w:line="480" w:lineRule="auto"/>
        <w:rPr>
          <w:rFonts w:ascii="Baskerville" w:hAnsi="Baskerville"/>
          <w:sz w:val="18"/>
          <w:szCs w:val="18"/>
          <w:lang w:val="en-US"/>
        </w:rPr>
      </w:pPr>
      <w:r w:rsidRPr="00A713E0">
        <w:rPr>
          <w:rFonts w:ascii="Baskerville" w:hAnsi="Baskerville"/>
          <w:sz w:val="18"/>
          <w:szCs w:val="18"/>
          <w:lang w:val="en-US"/>
        </w:rPr>
        <w:lastRenderedPageBreak/>
        <w:t xml:space="preserve"> </w:t>
      </w:r>
      <w:r w:rsidRPr="008762CD">
        <w:rPr>
          <w:rFonts w:ascii="Baskerville" w:hAnsi="Baskerville"/>
          <w:noProof/>
          <w:sz w:val="18"/>
          <w:szCs w:val="18"/>
          <w:lang w:val="en-US"/>
        </w:rPr>
        <w:drawing>
          <wp:inline distT="0" distB="0" distL="0" distR="0" wp14:anchorId="6C1B57A1" wp14:editId="6FFDB47F">
            <wp:extent cx="5029200" cy="3657600"/>
            <wp:effectExtent l="12700" t="12700" r="12700" b="1270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33640" w:rsidRPr="00006792" w:rsidRDefault="00E33640" w:rsidP="00E33640">
      <w:pPr>
        <w:spacing w:line="480" w:lineRule="auto"/>
        <w:rPr>
          <w:rFonts w:ascii="Baskerville" w:hAnsi="Baskerville"/>
          <w:sz w:val="18"/>
          <w:szCs w:val="18"/>
          <w:lang w:val="en-US"/>
        </w:rPr>
      </w:pPr>
      <w:r>
        <w:rPr>
          <w:rFonts w:ascii="Baskerville" w:hAnsi="Baskerville"/>
          <w:b/>
          <w:sz w:val="18"/>
          <w:szCs w:val="18"/>
          <w:lang w:val="en-US"/>
        </w:rPr>
        <w:t>F</w:t>
      </w:r>
      <w:r w:rsidRPr="00006792">
        <w:rPr>
          <w:rFonts w:ascii="Baskerville" w:hAnsi="Baskerville"/>
          <w:b/>
          <w:sz w:val="18"/>
          <w:szCs w:val="18"/>
          <w:lang w:val="en-US"/>
        </w:rPr>
        <w:t xml:space="preserve">igure </w:t>
      </w:r>
      <w:r>
        <w:rPr>
          <w:rFonts w:ascii="Baskerville" w:hAnsi="Baskerville"/>
          <w:b/>
          <w:sz w:val="18"/>
          <w:szCs w:val="18"/>
          <w:lang w:val="en-US"/>
        </w:rPr>
        <w:t>S</w:t>
      </w:r>
      <w:r w:rsidRPr="00006792">
        <w:rPr>
          <w:rFonts w:ascii="Baskerville" w:hAnsi="Baskerville"/>
          <w:b/>
          <w:sz w:val="18"/>
          <w:szCs w:val="18"/>
          <w:lang w:val="en-US"/>
        </w:rPr>
        <w:t xml:space="preserve">2. </w:t>
      </w:r>
      <w:r w:rsidRPr="00006792">
        <w:rPr>
          <w:rFonts w:ascii="Baskerville" w:hAnsi="Baskerville"/>
          <w:sz w:val="18"/>
          <w:szCs w:val="18"/>
          <w:lang w:val="en-US"/>
        </w:rPr>
        <w:t>Time line of conception year</w:t>
      </w:r>
      <w:r w:rsidRPr="00006792">
        <w:rPr>
          <w:rFonts w:ascii="Baskerville" w:hAnsi="Baskerville"/>
          <w:b/>
          <w:sz w:val="18"/>
          <w:szCs w:val="18"/>
          <w:lang w:val="en-US"/>
        </w:rPr>
        <w:t xml:space="preserve"> </w:t>
      </w:r>
      <w:r w:rsidRPr="00006792">
        <w:rPr>
          <w:rFonts w:ascii="Baskerville" w:hAnsi="Baskerville"/>
          <w:sz w:val="18"/>
          <w:szCs w:val="18"/>
          <w:lang w:val="en-US"/>
        </w:rPr>
        <w:t xml:space="preserve">and </w:t>
      </w:r>
      <w:r>
        <w:rPr>
          <w:rFonts w:ascii="Baskerville" w:hAnsi="Baskerville"/>
          <w:sz w:val="18"/>
          <w:szCs w:val="18"/>
          <w:lang w:val="en-US"/>
        </w:rPr>
        <w:t>severe cardiac malformations (SCM)</w:t>
      </w:r>
      <w:r w:rsidRPr="00006792">
        <w:rPr>
          <w:rFonts w:ascii="Baskerville" w:hAnsi="Baskerville"/>
          <w:sz w:val="18"/>
          <w:szCs w:val="18"/>
          <w:lang w:val="en-US"/>
        </w:rPr>
        <w:t xml:space="preserve"> divided by specific cardiac malformations with h</w:t>
      </w:r>
      <w:r w:rsidRPr="00006792">
        <w:rPr>
          <w:rFonts w:ascii="Baskerville" w:hAnsi="Baskerville" w:cs="Baskerville"/>
          <w:sz w:val="18"/>
          <w:szCs w:val="18"/>
          <w:lang w:val="en-US"/>
        </w:rPr>
        <w:t>ierarchy of: HLHS&gt;HRHS&gt;</w:t>
      </w:r>
      <w:proofErr w:type="spellStart"/>
      <w:r w:rsidRPr="00006792">
        <w:rPr>
          <w:rFonts w:ascii="Baskerville" w:hAnsi="Baskerville" w:cs="Baskerville"/>
          <w:sz w:val="18"/>
          <w:szCs w:val="18"/>
          <w:lang w:val="en-US"/>
        </w:rPr>
        <w:t>ToF</w:t>
      </w:r>
      <w:proofErr w:type="spellEnd"/>
      <w:r w:rsidRPr="00006792">
        <w:rPr>
          <w:rFonts w:ascii="Baskerville" w:hAnsi="Baskerville" w:cs="Baskerville"/>
          <w:sz w:val="18"/>
          <w:szCs w:val="18"/>
          <w:lang w:val="en-US"/>
        </w:rPr>
        <w:t xml:space="preserve">&gt;DORV&gt;CoA&gt;AVSD&gt;VSD&gt;ASD&gt;other, </w:t>
      </w:r>
      <w:r w:rsidRPr="00006792">
        <w:rPr>
          <w:rFonts w:ascii="Baskerville" w:hAnsi="Baskerville"/>
          <w:sz w:val="18"/>
          <w:szCs w:val="18"/>
          <w:lang w:val="en-US"/>
        </w:rPr>
        <w:t xml:space="preserve">each fetus or child has contributed only once. </w:t>
      </w:r>
    </w:p>
    <w:p w:rsidR="00E33640" w:rsidRPr="00006792" w:rsidRDefault="00E33640" w:rsidP="00E33640">
      <w:pPr>
        <w:spacing w:line="480" w:lineRule="auto"/>
        <w:rPr>
          <w:rFonts w:ascii="Baskerville" w:hAnsi="Baskerville"/>
          <w:sz w:val="18"/>
          <w:szCs w:val="18"/>
          <w:lang w:val="en-US"/>
        </w:rPr>
      </w:pPr>
      <w:r w:rsidRPr="00006792">
        <w:rPr>
          <w:rFonts w:ascii="Baskerville" w:hAnsi="Baskerville" w:cs="Baskerville"/>
          <w:sz w:val="18"/>
          <w:szCs w:val="18"/>
          <w:lang w:val="en-US"/>
        </w:rPr>
        <w:t xml:space="preserve">Hierarchy of diagnoses: postnatal&gt;prenatal if difference between postnatal and prenatal (with exception of diagnoses </w:t>
      </w:r>
      <w:r>
        <w:rPr>
          <w:rFonts w:ascii="Baskerville" w:hAnsi="Baskerville" w:cs="Baskerville"/>
          <w:sz w:val="18"/>
          <w:szCs w:val="18"/>
          <w:lang w:val="en-US"/>
        </w:rPr>
        <w:t xml:space="preserve">without further specification). </w:t>
      </w:r>
      <w:r w:rsidRPr="00006792">
        <w:rPr>
          <w:rFonts w:ascii="Baskerville" w:hAnsi="Baskerville" w:cs="Baskerville"/>
          <w:sz w:val="18"/>
          <w:szCs w:val="18"/>
          <w:lang w:val="en-US"/>
        </w:rPr>
        <w:t xml:space="preserve">HLHS: Hypoplastic left heart syndrome. </w:t>
      </w:r>
      <w:r w:rsidRPr="00006792">
        <w:rPr>
          <w:rFonts w:ascii="Baskerville" w:hAnsi="Baskerville"/>
          <w:bCs/>
          <w:sz w:val="18"/>
          <w:szCs w:val="18"/>
          <w:lang w:val="en-US"/>
        </w:rPr>
        <w:t>HRHS</w:t>
      </w:r>
      <w:r w:rsidRPr="00006792">
        <w:rPr>
          <w:rFonts w:ascii="Baskerville" w:hAnsi="Baskerville" w:cs="Baskerville"/>
          <w:sz w:val="18"/>
          <w:szCs w:val="18"/>
          <w:lang w:val="en-US"/>
        </w:rPr>
        <w:t xml:space="preserve">: Hypoplastic right heart syndrome. </w:t>
      </w:r>
      <w:proofErr w:type="spellStart"/>
      <w:r w:rsidRPr="00006792">
        <w:rPr>
          <w:rFonts w:ascii="Baskerville" w:hAnsi="Baskerville" w:cs="Baskerville"/>
          <w:sz w:val="18"/>
          <w:szCs w:val="18"/>
          <w:lang w:val="en-US"/>
        </w:rPr>
        <w:t>ToF</w:t>
      </w:r>
      <w:proofErr w:type="spellEnd"/>
      <w:r w:rsidRPr="00006792">
        <w:rPr>
          <w:rFonts w:ascii="Baskerville" w:hAnsi="Baskerville" w:cs="Baskerville"/>
          <w:sz w:val="18"/>
          <w:szCs w:val="18"/>
          <w:lang w:val="en-US"/>
        </w:rPr>
        <w:t>: Tetralogy of Fallot</w:t>
      </w:r>
      <w:r w:rsidRPr="00006792">
        <w:rPr>
          <w:rFonts w:ascii="Baskerville" w:hAnsi="Baskerville"/>
          <w:bCs/>
          <w:sz w:val="18"/>
          <w:szCs w:val="18"/>
          <w:lang w:val="en-US"/>
        </w:rPr>
        <w:t xml:space="preserve">. </w:t>
      </w:r>
      <w:r w:rsidRPr="00006792">
        <w:rPr>
          <w:rFonts w:ascii="Baskerville" w:hAnsi="Baskerville" w:cs="Baskerville"/>
          <w:sz w:val="18"/>
          <w:szCs w:val="18"/>
          <w:lang w:val="en-US"/>
        </w:rPr>
        <w:t>DORV: Double outlet right ventricle. CoA: Coarctation of aorta</w:t>
      </w:r>
      <w:r w:rsidRPr="00006792">
        <w:rPr>
          <w:rFonts w:ascii="Baskerville" w:hAnsi="Baskerville"/>
          <w:bCs/>
          <w:sz w:val="18"/>
          <w:szCs w:val="18"/>
          <w:lang w:val="en-US"/>
        </w:rPr>
        <w:t xml:space="preserve">. </w:t>
      </w:r>
      <w:r w:rsidRPr="00006792">
        <w:rPr>
          <w:rFonts w:ascii="Baskerville" w:hAnsi="Baskerville" w:cs="Baskerville"/>
          <w:sz w:val="18"/>
          <w:szCs w:val="18"/>
          <w:lang w:val="en-US"/>
        </w:rPr>
        <w:t>AVSD: Atrioventricular septal defect. VSD: Ventricular septal defect</w:t>
      </w:r>
      <w:r w:rsidRPr="00006792">
        <w:rPr>
          <w:rFonts w:ascii="Baskerville" w:hAnsi="Baskerville"/>
          <w:bCs/>
          <w:sz w:val="18"/>
          <w:szCs w:val="18"/>
          <w:lang w:val="en-US"/>
        </w:rPr>
        <w:t xml:space="preserve">. </w:t>
      </w:r>
      <w:r w:rsidRPr="00006792">
        <w:rPr>
          <w:rFonts w:ascii="Baskerville" w:hAnsi="Baskerville" w:cs="Baskerville"/>
          <w:sz w:val="18"/>
          <w:szCs w:val="18"/>
          <w:lang w:val="en-US"/>
        </w:rPr>
        <w:t xml:space="preserve">ASD: Atrial septal defect </w:t>
      </w:r>
    </w:p>
    <w:p w:rsidR="00E33640" w:rsidRPr="00A713E0" w:rsidRDefault="00E33640" w:rsidP="00E33640">
      <w:pPr>
        <w:spacing w:line="480" w:lineRule="auto"/>
        <w:rPr>
          <w:rFonts w:ascii="Baskerville" w:hAnsi="Baskerville"/>
          <w:bCs/>
          <w:sz w:val="16"/>
          <w:szCs w:val="16"/>
          <w:lang w:val="en-US"/>
        </w:rPr>
      </w:pPr>
    </w:p>
    <w:p w:rsidR="004D6B14" w:rsidRDefault="004D6B14" w:rsidP="00E33640">
      <w:bookmarkStart w:id="0" w:name="_GoBack"/>
      <w:bookmarkEnd w:id="0"/>
    </w:p>
    <w:sectPr w:rsidR="004D6B14" w:rsidSect="0034503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640"/>
    <w:rsid w:val="0002770A"/>
    <w:rsid w:val="00063252"/>
    <w:rsid w:val="00127915"/>
    <w:rsid w:val="001934B4"/>
    <w:rsid w:val="001A66B6"/>
    <w:rsid w:val="001E1230"/>
    <w:rsid w:val="001E7780"/>
    <w:rsid w:val="002D0272"/>
    <w:rsid w:val="002F6195"/>
    <w:rsid w:val="00345033"/>
    <w:rsid w:val="0035611E"/>
    <w:rsid w:val="00371EBF"/>
    <w:rsid w:val="004D6B14"/>
    <w:rsid w:val="004F773B"/>
    <w:rsid w:val="0059037E"/>
    <w:rsid w:val="005C3160"/>
    <w:rsid w:val="005E0835"/>
    <w:rsid w:val="005E1B3B"/>
    <w:rsid w:val="006739A2"/>
    <w:rsid w:val="006955E2"/>
    <w:rsid w:val="00713FA6"/>
    <w:rsid w:val="00733DEA"/>
    <w:rsid w:val="00753834"/>
    <w:rsid w:val="00785D02"/>
    <w:rsid w:val="00813E5D"/>
    <w:rsid w:val="008B560A"/>
    <w:rsid w:val="008D4F0E"/>
    <w:rsid w:val="00996248"/>
    <w:rsid w:val="009C0356"/>
    <w:rsid w:val="009F08F4"/>
    <w:rsid w:val="00A86674"/>
    <w:rsid w:val="00B0498E"/>
    <w:rsid w:val="00B40206"/>
    <w:rsid w:val="00BD73E9"/>
    <w:rsid w:val="00C32D85"/>
    <w:rsid w:val="00C97013"/>
    <w:rsid w:val="00DF0184"/>
    <w:rsid w:val="00DF6A3C"/>
    <w:rsid w:val="00E33640"/>
    <w:rsid w:val="00E72E00"/>
    <w:rsid w:val="00E866FE"/>
    <w:rsid w:val="00EC1F10"/>
    <w:rsid w:val="00F35D85"/>
    <w:rsid w:val="00F434A4"/>
    <w:rsid w:val="00FC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DB95CB"/>
  <w14:defaultImageDpi w14:val="32767"/>
  <w15:chartTrackingRefBased/>
  <w15:docId w15:val="{D18550AF-1329-3247-B89A-82B1A5F7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3364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dtekst1">
    <w:name w:val="Brødtekst1"/>
    <w:link w:val="Brdtekst1Tegn"/>
    <w:rsid w:val="00E336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u w:color="000000"/>
      <w:bdr w:val="nil"/>
      <w:lang w:val="en-US" w:eastAsia="da-DK"/>
    </w:rPr>
  </w:style>
  <w:style w:type="character" w:customStyle="1" w:styleId="Brdtekst1Tegn">
    <w:name w:val="Brødtekst1 Tegn"/>
    <w:basedOn w:val="Standardskrifttypeiafsnit"/>
    <w:link w:val="Brdtekst1"/>
    <w:rsid w:val="00E33640"/>
    <w:rPr>
      <w:rFonts w:ascii="Cambria" w:eastAsia="Arial Unicode MS" w:hAnsi="Cambria" w:cs="Arial Unicode MS"/>
      <w:color w:val="000000"/>
      <w:u w:color="000000"/>
      <w:bdr w:val="nil"/>
      <w:lang w:val="en-US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2020-12-11T10:07:00Z</dcterms:created>
  <dcterms:modified xsi:type="dcterms:W3CDTF">2020-12-11T10:08:00Z</dcterms:modified>
</cp:coreProperties>
</file>