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E2F4A" w14:textId="77777777" w:rsidR="001E317E" w:rsidRPr="001E317E" w:rsidRDefault="001E317E" w:rsidP="001E317E">
      <w:pPr>
        <w:spacing w:after="360"/>
        <w:rPr>
          <w:b/>
          <w:bCs/>
          <w:sz w:val="32"/>
          <w:szCs w:val="32"/>
        </w:rPr>
      </w:pPr>
      <w:r w:rsidRPr="001E317E">
        <w:rPr>
          <w:b/>
          <w:bCs/>
          <w:sz w:val="32"/>
          <w:szCs w:val="32"/>
        </w:rPr>
        <w:t>Declarations and Statements of Truth for Expert Reports in Legal Proceedings in the British Isles</w:t>
      </w:r>
    </w:p>
    <w:p w14:paraId="1685A3F4" w14:textId="75DDAF8B" w:rsidR="00D67888" w:rsidRPr="009746A0" w:rsidRDefault="008559DB" w:rsidP="009A3181">
      <w:pPr>
        <w:rPr>
          <w:sz w:val="28"/>
          <w:szCs w:val="28"/>
        </w:rPr>
      </w:pPr>
      <w:r w:rsidRPr="009746A0">
        <w:rPr>
          <w:sz w:val="28"/>
          <w:szCs w:val="28"/>
        </w:rPr>
        <w:t>‘</w:t>
      </w:r>
      <w:r w:rsidR="009A3181" w:rsidRPr="009746A0">
        <w:rPr>
          <w:sz w:val="28"/>
          <w:szCs w:val="28"/>
        </w:rPr>
        <w:t>A "responsible" expert is one who […</w:t>
      </w:r>
      <w:r w:rsidR="00EF412F" w:rsidRPr="009746A0">
        <w:rPr>
          <w:sz w:val="28"/>
          <w:szCs w:val="28"/>
        </w:rPr>
        <w:t>]</w:t>
      </w:r>
      <w:r w:rsidR="009A3181" w:rsidRPr="009746A0">
        <w:rPr>
          <w:sz w:val="28"/>
          <w:szCs w:val="28"/>
        </w:rPr>
        <w:t xml:space="preserve"> adheres to the spirit as well as the words of his professional declaration</w:t>
      </w:r>
      <w:r w:rsidR="00EF412F" w:rsidRPr="009746A0">
        <w:rPr>
          <w:sz w:val="28"/>
          <w:szCs w:val="28"/>
        </w:rPr>
        <w:t>.</w:t>
      </w:r>
      <w:r w:rsidRPr="009746A0">
        <w:rPr>
          <w:sz w:val="28"/>
          <w:szCs w:val="28"/>
        </w:rPr>
        <w:t>’</w:t>
      </w:r>
    </w:p>
    <w:p w14:paraId="66A7EBB7" w14:textId="2938641A" w:rsidR="00EF412F" w:rsidRDefault="00EF412F" w:rsidP="009746A0">
      <w:pPr>
        <w:spacing w:after="0"/>
        <w:jc w:val="right"/>
        <w:rPr>
          <w:b/>
          <w:bCs/>
          <w:sz w:val="28"/>
          <w:szCs w:val="28"/>
        </w:rPr>
      </w:pPr>
      <w:r w:rsidRPr="00EF412F">
        <w:rPr>
          <w:b/>
          <w:bCs/>
          <w:sz w:val="28"/>
          <w:szCs w:val="28"/>
        </w:rPr>
        <w:t>Green J in</w:t>
      </w:r>
      <w:r>
        <w:rPr>
          <w:b/>
          <w:bCs/>
          <w:i/>
          <w:iCs/>
          <w:sz w:val="28"/>
          <w:szCs w:val="28"/>
        </w:rPr>
        <w:t xml:space="preserve"> </w:t>
      </w:r>
      <w:r w:rsidRPr="00EF412F">
        <w:rPr>
          <w:b/>
          <w:bCs/>
          <w:i/>
          <w:iCs/>
          <w:sz w:val="28"/>
          <w:szCs w:val="28"/>
        </w:rPr>
        <w:t>C v North Cumbria University Hospitals Trust</w:t>
      </w:r>
      <w:r w:rsidRPr="00EF412F">
        <w:rPr>
          <w:b/>
          <w:bCs/>
          <w:sz w:val="28"/>
          <w:szCs w:val="28"/>
        </w:rPr>
        <w:t> [2014] Med LR 189</w:t>
      </w:r>
    </w:p>
    <w:p w14:paraId="416CDE68" w14:textId="77777777" w:rsidR="00D67888" w:rsidRDefault="00D67888" w:rsidP="00C532EF">
      <w:pPr>
        <w:jc w:val="center"/>
        <w:rPr>
          <w:b/>
          <w:bCs/>
          <w:sz w:val="28"/>
          <w:szCs w:val="28"/>
        </w:rPr>
      </w:pPr>
    </w:p>
    <w:tbl>
      <w:tblPr>
        <w:tblStyle w:val="TableGrid"/>
        <w:tblW w:w="5000" w:type="pct"/>
        <w:tblBorders>
          <w:bottom w:val="single" w:sz="4" w:space="0" w:color="A6A6A6" w:themeColor="background1" w:themeShade="A6"/>
        </w:tblBorders>
        <w:tblLayout w:type="fixed"/>
        <w:tblLook w:val="04A0" w:firstRow="1" w:lastRow="0" w:firstColumn="1" w:lastColumn="0" w:noHBand="0" w:noVBand="1"/>
      </w:tblPr>
      <w:tblGrid>
        <w:gridCol w:w="1981"/>
        <w:gridCol w:w="2268"/>
        <w:gridCol w:w="5953"/>
        <w:gridCol w:w="3746"/>
      </w:tblGrid>
      <w:tr w:rsidR="006E024F" w:rsidRPr="00CE64ED" w14:paraId="7E8773AE" w14:textId="77777777" w:rsidTr="009746A0">
        <w:tc>
          <w:tcPr>
            <w:tcW w:w="710" w:type="pct"/>
          </w:tcPr>
          <w:p w14:paraId="5AB89825" w14:textId="177E4876" w:rsidR="006E024F" w:rsidRPr="00CE64ED" w:rsidRDefault="006E024F" w:rsidP="005C0BA5">
            <w:pPr>
              <w:rPr>
                <w:b/>
                <w:bCs/>
              </w:rPr>
            </w:pPr>
            <w:r w:rsidRPr="00CE64ED">
              <w:rPr>
                <w:b/>
                <w:bCs/>
              </w:rPr>
              <w:t>Jurisdiction</w:t>
            </w:r>
          </w:p>
        </w:tc>
        <w:tc>
          <w:tcPr>
            <w:tcW w:w="813" w:type="pct"/>
          </w:tcPr>
          <w:p w14:paraId="76B1A778" w14:textId="35F10A61" w:rsidR="006E024F" w:rsidRPr="00CE64ED" w:rsidRDefault="006E024F" w:rsidP="005C0BA5">
            <w:pPr>
              <w:rPr>
                <w:b/>
                <w:bCs/>
              </w:rPr>
            </w:pPr>
            <w:r w:rsidRPr="00CE64ED">
              <w:rPr>
                <w:b/>
                <w:bCs/>
              </w:rPr>
              <w:t>Reference(s)</w:t>
            </w:r>
          </w:p>
        </w:tc>
        <w:tc>
          <w:tcPr>
            <w:tcW w:w="2134" w:type="pct"/>
          </w:tcPr>
          <w:p w14:paraId="5A8B3379" w14:textId="6AC9CD7C" w:rsidR="006E024F" w:rsidRPr="0047420C" w:rsidRDefault="00BA4AA9" w:rsidP="005C0BA5">
            <w:pPr>
              <w:rPr>
                <w:b/>
                <w:bCs/>
                <w:color w:val="0070C0"/>
              </w:rPr>
            </w:pPr>
            <w:r w:rsidRPr="0047420C">
              <w:rPr>
                <w:b/>
                <w:bCs/>
              </w:rPr>
              <w:t>Source</w:t>
            </w:r>
          </w:p>
        </w:tc>
        <w:tc>
          <w:tcPr>
            <w:tcW w:w="1343" w:type="pct"/>
          </w:tcPr>
          <w:p w14:paraId="1872933E" w14:textId="1665CD8C" w:rsidR="006E024F" w:rsidRPr="00CE64ED" w:rsidRDefault="006E024F" w:rsidP="005C0BA5">
            <w:pPr>
              <w:rPr>
                <w:b/>
                <w:bCs/>
              </w:rPr>
            </w:pPr>
            <w:r w:rsidRPr="00CE64ED">
              <w:rPr>
                <w:b/>
                <w:bCs/>
              </w:rPr>
              <w:t>Comments</w:t>
            </w:r>
          </w:p>
        </w:tc>
      </w:tr>
      <w:tr w:rsidR="006E024F" w14:paraId="76327BF3" w14:textId="77777777" w:rsidTr="009746A0">
        <w:tc>
          <w:tcPr>
            <w:tcW w:w="710" w:type="pct"/>
          </w:tcPr>
          <w:p w14:paraId="2D6DE953" w14:textId="0DA9BA0F" w:rsidR="006E024F" w:rsidRDefault="006E024F" w:rsidP="00CE64ED">
            <w:r>
              <w:t>England and Wales (Criminal)</w:t>
            </w:r>
          </w:p>
        </w:tc>
        <w:tc>
          <w:tcPr>
            <w:tcW w:w="813" w:type="pct"/>
          </w:tcPr>
          <w:p w14:paraId="0B68E4EB" w14:textId="77777777" w:rsidR="006E024F" w:rsidRDefault="006E024F" w:rsidP="00CE64ED">
            <w:r>
              <w:t xml:space="preserve">CrimPR 19.4 (j) &amp; (k) </w:t>
            </w:r>
          </w:p>
          <w:p w14:paraId="758BA609" w14:textId="77777777" w:rsidR="005217FB" w:rsidRDefault="005217FB" w:rsidP="00CE64ED"/>
          <w:p w14:paraId="6C9CEC97" w14:textId="30D4FA1B" w:rsidR="006E024F" w:rsidRDefault="006E024F" w:rsidP="00CE64ED">
            <w:r>
              <w:t>CrimPR 19CPD1 Expert Evidence 7.2</w:t>
            </w:r>
          </w:p>
        </w:tc>
        <w:tc>
          <w:tcPr>
            <w:tcW w:w="2134" w:type="pct"/>
          </w:tcPr>
          <w:p w14:paraId="79535645" w14:textId="5806649D" w:rsidR="00F54246" w:rsidRPr="0047420C" w:rsidRDefault="008A6814" w:rsidP="00CE64ED">
            <w:pPr>
              <w:rPr>
                <w:color w:val="0070C0"/>
              </w:rPr>
            </w:pPr>
            <w:hyperlink r:id="rId5" w:history="1">
              <w:r w:rsidRPr="0047420C">
                <w:rPr>
                  <w:rStyle w:val="Hyperlink"/>
                  <w:color w:val="0070C0"/>
                </w:rPr>
                <w:t>Criminal Procedure Rules 2025 and Criminal Practice Directions 2023 - GOV.UK</w:t>
              </w:r>
            </w:hyperlink>
          </w:p>
          <w:p w14:paraId="5B00FA0D" w14:textId="77777777" w:rsidR="00F54246" w:rsidRPr="0047420C" w:rsidRDefault="00F54246" w:rsidP="00CE64ED">
            <w:pPr>
              <w:rPr>
                <w:color w:val="0070C0"/>
              </w:rPr>
            </w:pPr>
          </w:p>
          <w:p w14:paraId="66FA41C3" w14:textId="77777777" w:rsidR="00BA4AA9" w:rsidRPr="0047420C" w:rsidRDefault="008A6814" w:rsidP="00CE64ED">
            <w:pPr>
              <w:rPr>
                <w:color w:val="0070C0"/>
              </w:rPr>
            </w:pPr>
            <w:hyperlink r:id="rId6" w:history="1">
              <w:r w:rsidRPr="0047420C">
                <w:rPr>
                  <w:rStyle w:val="Hyperlink"/>
                  <w:color w:val="0070C0"/>
                </w:rPr>
                <w:t>Criminal Practice Directions 2023</w:t>
              </w:r>
            </w:hyperlink>
          </w:p>
          <w:p w14:paraId="604B4FD6" w14:textId="0EDDCC16" w:rsidR="008A6814" w:rsidRPr="0047420C" w:rsidRDefault="008A6814" w:rsidP="00CE64ED">
            <w:pPr>
              <w:rPr>
                <w:color w:val="0070C0"/>
              </w:rPr>
            </w:pPr>
          </w:p>
        </w:tc>
        <w:tc>
          <w:tcPr>
            <w:tcW w:w="1343" w:type="pct"/>
          </w:tcPr>
          <w:p w14:paraId="29B23912" w14:textId="77777777" w:rsidR="006E024F" w:rsidRDefault="00272415" w:rsidP="00CE64ED">
            <w:r>
              <w:t>“</w:t>
            </w:r>
            <w:proofErr w:type="gramStart"/>
            <w:r>
              <w:t>in</w:t>
            </w:r>
            <w:proofErr w:type="gramEnd"/>
            <w:r>
              <w:t xml:space="preserve"> the following terms, or in terms substantially the same”</w:t>
            </w:r>
          </w:p>
          <w:p w14:paraId="5B2D5C15" w14:textId="2535D5A5" w:rsidR="006B5B58" w:rsidRDefault="006B5B58" w:rsidP="00CE64ED">
            <w:r>
              <w:t xml:space="preserve">Note </w:t>
            </w:r>
            <w:r w:rsidR="00351294">
              <w:t>additional requirements for experts instructed by Prosecution</w:t>
            </w:r>
          </w:p>
        </w:tc>
      </w:tr>
      <w:tr w:rsidR="00D87236" w14:paraId="3163B76F" w14:textId="77777777" w:rsidTr="009746A0">
        <w:tc>
          <w:tcPr>
            <w:tcW w:w="710" w:type="pct"/>
          </w:tcPr>
          <w:p w14:paraId="5F16DECF" w14:textId="1E2D5DA8" w:rsidR="00D87236" w:rsidRDefault="00D87236" w:rsidP="00CE64ED">
            <w:r>
              <w:t>England and Wales (Family Court)</w:t>
            </w:r>
          </w:p>
        </w:tc>
        <w:tc>
          <w:tcPr>
            <w:tcW w:w="813" w:type="pct"/>
          </w:tcPr>
          <w:p w14:paraId="0B6E8604" w14:textId="02A6071C" w:rsidR="00A947FF" w:rsidRDefault="00621229" w:rsidP="00CE64ED">
            <w:r>
              <w:t xml:space="preserve">Annex to </w:t>
            </w:r>
            <w:r w:rsidR="00A947FF">
              <w:t xml:space="preserve">FPR </w:t>
            </w:r>
            <w:r w:rsidR="002A5DB0">
              <w:t>25B PD</w:t>
            </w:r>
            <w:r w:rsidR="00B71F39">
              <w:t xml:space="preserve"> 9.1(i)</w:t>
            </w:r>
          </w:p>
        </w:tc>
        <w:tc>
          <w:tcPr>
            <w:tcW w:w="2134" w:type="pct"/>
          </w:tcPr>
          <w:p w14:paraId="1A86FC5D" w14:textId="77777777" w:rsidR="0047420C" w:rsidRDefault="008A6814" w:rsidP="00CE64ED">
            <w:pPr>
              <w:rPr>
                <w:color w:val="0070C0"/>
              </w:rPr>
            </w:pPr>
            <w:hyperlink r:id="rId7" w:history="1">
              <w:r w:rsidRPr="0047420C">
                <w:rPr>
                  <w:color w:val="0070C0"/>
                  <w:u w:val="single"/>
                </w:rPr>
                <w:t xml:space="preserve">Practice Direction 25b – The Duties </w:t>
              </w:r>
              <w:proofErr w:type="gramStart"/>
              <w:r w:rsidRPr="0047420C">
                <w:rPr>
                  <w:color w:val="0070C0"/>
                  <w:u w:val="single"/>
                </w:rPr>
                <w:t>Of</w:t>
              </w:r>
              <w:proofErr w:type="gramEnd"/>
              <w:r w:rsidRPr="0047420C">
                <w:rPr>
                  <w:color w:val="0070C0"/>
                  <w:u w:val="single"/>
                </w:rPr>
                <w:t xml:space="preserve"> </w:t>
              </w:r>
              <w:proofErr w:type="gramStart"/>
              <w:r w:rsidRPr="0047420C">
                <w:rPr>
                  <w:color w:val="0070C0"/>
                  <w:u w:val="single"/>
                </w:rPr>
                <w:t>An</w:t>
              </w:r>
              <w:proofErr w:type="gramEnd"/>
              <w:r w:rsidRPr="0047420C">
                <w:rPr>
                  <w:color w:val="0070C0"/>
                  <w:u w:val="single"/>
                </w:rPr>
                <w:t xml:space="preserve"> Expert, The Expert’s Report </w:t>
              </w:r>
              <w:proofErr w:type="gramStart"/>
              <w:r w:rsidRPr="0047420C">
                <w:rPr>
                  <w:color w:val="0070C0"/>
                  <w:u w:val="single"/>
                </w:rPr>
                <w:t>And</w:t>
              </w:r>
              <w:proofErr w:type="gramEnd"/>
              <w:r w:rsidRPr="0047420C">
                <w:rPr>
                  <w:color w:val="0070C0"/>
                  <w:u w:val="single"/>
                </w:rPr>
                <w:t xml:space="preserve"> Arrangements </w:t>
              </w:r>
              <w:proofErr w:type="gramStart"/>
              <w:r w:rsidRPr="0047420C">
                <w:rPr>
                  <w:color w:val="0070C0"/>
                  <w:u w:val="single"/>
                </w:rPr>
                <w:t>For</w:t>
              </w:r>
              <w:proofErr w:type="gramEnd"/>
              <w:r w:rsidRPr="0047420C">
                <w:rPr>
                  <w:color w:val="0070C0"/>
                  <w:u w:val="single"/>
                </w:rPr>
                <w:t xml:space="preserve"> </w:t>
              </w:r>
              <w:proofErr w:type="gramStart"/>
              <w:r w:rsidRPr="0047420C">
                <w:rPr>
                  <w:color w:val="0070C0"/>
                  <w:u w:val="single"/>
                </w:rPr>
                <w:t>An</w:t>
              </w:r>
              <w:proofErr w:type="gramEnd"/>
              <w:r w:rsidRPr="0047420C">
                <w:rPr>
                  <w:color w:val="0070C0"/>
                  <w:u w:val="single"/>
                </w:rPr>
                <w:t xml:space="preserve"> Expert </w:t>
              </w:r>
              <w:proofErr w:type="gramStart"/>
              <w:r w:rsidRPr="0047420C">
                <w:rPr>
                  <w:color w:val="0070C0"/>
                  <w:u w:val="single"/>
                </w:rPr>
                <w:t>To</w:t>
              </w:r>
              <w:proofErr w:type="gramEnd"/>
              <w:r w:rsidRPr="0047420C">
                <w:rPr>
                  <w:color w:val="0070C0"/>
                  <w:u w:val="single"/>
                </w:rPr>
                <w:t xml:space="preserve"> Attend Court – Justice Uk</w:t>
              </w:r>
            </w:hyperlink>
          </w:p>
          <w:p w14:paraId="2A1800A0" w14:textId="19A52A53" w:rsidR="0047420C" w:rsidRPr="0047420C" w:rsidRDefault="0047420C" w:rsidP="00CE64ED">
            <w:pPr>
              <w:rPr>
                <w:color w:val="0070C0"/>
              </w:rPr>
            </w:pPr>
          </w:p>
        </w:tc>
        <w:tc>
          <w:tcPr>
            <w:tcW w:w="1343" w:type="pct"/>
          </w:tcPr>
          <w:p w14:paraId="75DCC44D" w14:textId="3F62EA03" w:rsidR="00D87236" w:rsidRDefault="0096381A" w:rsidP="00CE64ED">
            <w:r>
              <w:t xml:space="preserve">In </w:t>
            </w:r>
            <w:r w:rsidR="00EF2123">
              <w:t>proceedings relating to children, additional declaration and different statement of truth</w:t>
            </w:r>
          </w:p>
        </w:tc>
      </w:tr>
      <w:tr w:rsidR="00EF2123" w14:paraId="01023269" w14:textId="77777777" w:rsidTr="009746A0">
        <w:tc>
          <w:tcPr>
            <w:tcW w:w="710" w:type="pct"/>
          </w:tcPr>
          <w:p w14:paraId="5F61C28E" w14:textId="1131F42B" w:rsidR="00EF2123" w:rsidRDefault="003A25DC" w:rsidP="00CE64ED">
            <w:r>
              <w:t>England and Wales (Civil)</w:t>
            </w:r>
          </w:p>
        </w:tc>
        <w:tc>
          <w:tcPr>
            <w:tcW w:w="813" w:type="pct"/>
          </w:tcPr>
          <w:p w14:paraId="278D5FB9" w14:textId="77777777" w:rsidR="00EF2123" w:rsidRDefault="00CD6982" w:rsidP="00CE64ED">
            <w:r>
              <w:t xml:space="preserve">CPR </w:t>
            </w:r>
            <w:r w:rsidR="00692D18">
              <w:t>35.10(2)</w:t>
            </w:r>
          </w:p>
          <w:p w14:paraId="4B144F4D" w14:textId="77777777" w:rsidR="005E2E1A" w:rsidRDefault="005E2E1A" w:rsidP="00CE64ED"/>
          <w:p w14:paraId="02A198DD" w14:textId="77777777" w:rsidR="008A6814" w:rsidRDefault="008A6814" w:rsidP="00CE64ED"/>
          <w:p w14:paraId="2F65578D" w14:textId="77777777" w:rsidR="005E2E1A" w:rsidRDefault="008B13AC" w:rsidP="00CE64ED">
            <w:r>
              <w:t>CPR</w:t>
            </w:r>
            <w:r w:rsidR="00F15B85">
              <w:t xml:space="preserve"> 35 PD 3.2(9) &amp; 3.3</w:t>
            </w:r>
          </w:p>
          <w:p w14:paraId="6E25E725" w14:textId="77777777" w:rsidR="00B50FCB" w:rsidRDefault="00B50FCB" w:rsidP="00CE64ED"/>
          <w:p w14:paraId="44719D86" w14:textId="3CBFB5FB" w:rsidR="00B50FCB" w:rsidRDefault="00B50FCB" w:rsidP="00CE64ED">
            <w:r>
              <w:t>Guidance for the instruction of experts in civil claims</w:t>
            </w:r>
          </w:p>
        </w:tc>
        <w:tc>
          <w:tcPr>
            <w:tcW w:w="2134" w:type="pct"/>
          </w:tcPr>
          <w:p w14:paraId="5F9B6DE1" w14:textId="79729F46" w:rsidR="00F54246" w:rsidRPr="0047420C" w:rsidRDefault="008A6814" w:rsidP="00CE64ED">
            <w:pPr>
              <w:rPr>
                <w:color w:val="0070C0"/>
              </w:rPr>
            </w:pPr>
            <w:hyperlink r:id="rId8" w:anchor="IDAHO0HC" w:history="1">
              <w:r w:rsidRPr="0047420C">
                <w:rPr>
                  <w:color w:val="0070C0"/>
                  <w:u w:val="single"/>
                </w:rPr>
                <w:t>PART 35 – EXPERTS AND ASSESSORS – Civil Procedure Rules – Justice UK</w:t>
              </w:r>
            </w:hyperlink>
          </w:p>
          <w:p w14:paraId="461C2BEA" w14:textId="77777777" w:rsidR="008A6814" w:rsidRPr="0047420C" w:rsidRDefault="008A6814" w:rsidP="00CE64ED">
            <w:pPr>
              <w:rPr>
                <w:color w:val="0070C0"/>
              </w:rPr>
            </w:pPr>
          </w:p>
          <w:p w14:paraId="15F1B4E1" w14:textId="5B033AFA" w:rsidR="00F54246" w:rsidRPr="0047420C" w:rsidRDefault="008A6814" w:rsidP="00CE64ED">
            <w:pPr>
              <w:rPr>
                <w:color w:val="0070C0"/>
              </w:rPr>
            </w:pPr>
            <w:hyperlink r:id="rId9" w:history="1">
              <w:r w:rsidRPr="0047420C">
                <w:rPr>
                  <w:color w:val="0070C0"/>
                  <w:u w:val="single"/>
                </w:rPr>
                <w:t>PRACTICE DIRECTION 35 – EXPERTS AND ASSESSORS – Civil Procedure Rules – Justice UK</w:t>
              </w:r>
            </w:hyperlink>
          </w:p>
          <w:p w14:paraId="3841B0DE" w14:textId="77777777" w:rsidR="008A6814" w:rsidRPr="0047420C" w:rsidRDefault="008A6814" w:rsidP="00CE64ED">
            <w:pPr>
              <w:rPr>
                <w:color w:val="0070C0"/>
              </w:rPr>
            </w:pPr>
          </w:p>
          <w:p w14:paraId="55B4F2A6" w14:textId="23BE3A6B" w:rsidR="00EE30FF" w:rsidRPr="0047420C" w:rsidRDefault="008A6814" w:rsidP="00CE64ED">
            <w:pPr>
              <w:rPr>
                <w:color w:val="0070C0"/>
              </w:rPr>
            </w:pPr>
            <w:hyperlink r:id="rId10" w:history="1">
              <w:r w:rsidRPr="0047420C">
                <w:rPr>
                  <w:color w:val="0070C0"/>
                  <w:u w:val="single"/>
                </w:rPr>
                <w:t>Guidance for the instruction of experts in civil claims - Judiciary.uk</w:t>
              </w:r>
            </w:hyperlink>
          </w:p>
        </w:tc>
        <w:tc>
          <w:tcPr>
            <w:tcW w:w="1343" w:type="pct"/>
          </w:tcPr>
          <w:p w14:paraId="19CDA366" w14:textId="1B927544" w:rsidR="00EF2123" w:rsidRDefault="00864979" w:rsidP="00CE64ED">
            <w:r w:rsidRPr="00864979">
              <w:t xml:space="preserve"> </w:t>
            </w:r>
          </w:p>
        </w:tc>
      </w:tr>
      <w:tr w:rsidR="004234DE" w14:paraId="5AC61571" w14:textId="77777777" w:rsidTr="009746A0">
        <w:tc>
          <w:tcPr>
            <w:tcW w:w="710" w:type="pct"/>
          </w:tcPr>
          <w:p w14:paraId="53DF6256" w14:textId="66EA0919" w:rsidR="004234DE" w:rsidRDefault="004234DE" w:rsidP="00CE64ED">
            <w:r>
              <w:t xml:space="preserve">England and Wales (Immigration and </w:t>
            </w:r>
            <w:r w:rsidR="007C65BB">
              <w:t>A</w:t>
            </w:r>
            <w:r>
              <w:t>sylum)</w:t>
            </w:r>
          </w:p>
        </w:tc>
        <w:tc>
          <w:tcPr>
            <w:tcW w:w="813" w:type="pct"/>
          </w:tcPr>
          <w:p w14:paraId="42F33389" w14:textId="77777777" w:rsidR="004234DE" w:rsidRDefault="00400CFC" w:rsidP="00CE64ED">
            <w:r w:rsidRPr="00400CFC">
              <w:t>Practice Direction of the Immigration and Asylum Chamber of the First-tier Tribunal</w:t>
            </w:r>
          </w:p>
          <w:p w14:paraId="3BCC683E" w14:textId="4EF05EC3" w:rsidR="00141C3E" w:rsidRDefault="00141C3E" w:rsidP="00CE64ED">
            <w:r>
              <w:t xml:space="preserve">9.3(k) </w:t>
            </w:r>
            <w:r w:rsidR="00F81715">
              <w:t>&amp; 9.4</w:t>
            </w:r>
          </w:p>
        </w:tc>
        <w:tc>
          <w:tcPr>
            <w:tcW w:w="2134" w:type="pct"/>
          </w:tcPr>
          <w:p w14:paraId="74A0D32F" w14:textId="7B2496F4" w:rsidR="002065AA" w:rsidRPr="0047420C" w:rsidRDefault="008A6814" w:rsidP="00CE64ED">
            <w:pPr>
              <w:rPr>
                <w:color w:val="0070C0"/>
              </w:rPr>
            </w:pPr>
            <w:hyperlink r:id="rId11" w:history="1">
              <w:r w:rsidRPr="0047420C">
                <w:rPr>
                  <w:rStyle w:val="Hyperlink"/>
                  <w:color w:val="0070C0"/>
                </w:rPr>
                <w:t>Practice Direction of the Immigration and Asylum Chamber of the First-tier Tribunal - judiciary.uk</w:t>
              </w:r>
            </w:hyperlink>
          </w:p>
          <w:p w14:paraId="2BC7D4B0" w14:textId="602D6692" w:rsidR="007C65BB" w:rsidRPr="0047420C" w:rsidRDefault="007C65BB" w:rsidP="00CE64ED">
            <w:pPr>
              <w:rPr>
                <w:color w:val="0070C0"/>
              </w:rPr>
            </w:pPr>
          </w:p>
        </w:tc>
        <w:tc>
          <w:tcPr>
            <w:tcW w:w="1343" w:type="pct"/>
          </w:tcPr>
          <w:p w14:paraId="2C372653" w14:textId="174B2219" w:rsidR="004234DE" w:rsidRPr="00864979" w:rsidRDefault="00E410BB" w:rsidP="00CE64ED">
            <w:r>
              <w:t>See below</w:t>
            </w:r>
          </w:p>
        </w:tc>
      </w:tr>
      <w:tr w:rsidR="00780B4F" w14:paraId="154F34F4" w14:textId="77777777" w:rsidTr="009746A0">
        <w:tc>
          <w:tcPr>
            <w:tcW w:w="710" w:type="pct"/>
          </w:tcPr>
          <w:p w14:paraId="1E26081E" w14:textId="52839F60" w:rsidR="00780B4F" w:rsidRDefault="00780B4F" w:rsidP="00CE64ED">
            <w:r>
              <w:lastRenderedPageBreak/>
              <w:t>Ireland</w:t>
            </w:r>
          </w:p>
        </w:tc>
        <w:tc>
          <w:tcPr>
            <w:tcW w:w="813" w:type="pct"/>
          </w:tcPr>
          <w:p w14:paraId="743480A7" w14:textId="096E34C7" w:rsidR="00780B4F" w:rsidRDefault="00780B4F" w:rsidP="00CE64ED">
            <w:pPr>
              <w:rPr>
                <w:lang w:val="en-US"/>
              </w:rPr>
            </w:pPr>
            <w:r w:rsidRPr="00780B4F">
              <w:rPr>
                <w:lang w:val="en-US"/>
              </w:rPr>
              <w:t>RSC Ord. 39, r 57</w:t>
            </w:r>
            <w:r w:rsidR="00CD1F8B">
              <w:rPr>
                <w:lang w:val="en-US"/>
              </w:rPr>
              <w:t xml:space="preserve">(1) &amp; </w:t>
            </w:r>
            <w:r w:rsidRPr="00780B4F">
              <w:rPr>
                <w:lang w:val="en-US"/>
              </w:rPr>
              <w:t>(2)</w:t>
            </w:r>
          </w:p>
          <w:p w14:paraId="197BCEB7" w14:textId="77777777" w:rsidR="00865290" w:rsidRDefault="00865290" w:rsidP="00CE64ED"/>
          <w:p w14:paraId="34121C66" w14:textId="6B1E69F4" w:rsidR="00865290" w:rsidRPr="00400CFC" w:rsidRDefault="000A6E00" w:rsidP="002B109F">
            <w:r w:rsidRPr="00780B4F">
              <w:rPr>
                <w:i/>
                <w:lang w:val="en-US"/>
              </w:rPr>
              <w:t xml:space="preserve">O’Leary v Mercy University Hospital Cork Ltd </w:t>
            </w:r>
            <w:r w:rsidRPr="00780B4F">
              <w:rPr>
                <w:lang w:val="en-US"/>
              </w:rPr>
              <w:t>[</w:t>
            </w:r>
            <w:bookmarkStart w:id="0" w:name="LinkManagerBM_TMPREF_33"/>
            <w:r w:rsidRPr="00780B4F">
              <w:rPr>
                <w:lang w:val="en-US"/>
              </w:rPr>
              <w:t>2019</w:t>
            </w:r>
            <w:bookmarkEnd w:id="0"/>
            <w:r w:rsidRPr="00780B4F">
              <w:rPr>
                <w:lang w:val="en-US"/>
              </w:rPr>
              <w:t>] IESC 48</w:t>
            </w:r>
          </w:p>
        </w:tc>
        <w:tc>
          <w:tcPr>
            <w:tcW w:w="2134" w:type="pct"/>
          </w:tcPr>
          <w:p w14:paraId="3198312A" w14:textId="54741B8F" w:rsidR="0093659F" w:rsidRPr="0047420C" w:rsidRDefault="008A6814" w:rsidP="00780B4F">
            <w:pPr>
              <w:rPr>
                <w:color w:val="0070C0"/>
              </w:rPr>
            </w:pPr>
            <w:hyperlink r:id="rId12" w:history="1">
              <w:r w:rsidRPr="0047420C">
                <w:rPr>
                  <w:rStyle w:val="Hyperlink"/>
                  <w:color w:val="0070C0"/>
                </w:rPr>
                <w:t>Superior Courts Rules - Order 39 - courts.ie</w:t>
              </w:r>
            </w:hyperlink>
          </w:p>
          <w:p w14:paraId="1FBF0DD7" w14:textId="77777777" w:rsidR="0093659F" w:rsidRPr="0047420C" w:rsidRDefault="0093659F" w:rsidP="00780B4F">
            <w:pPr>
              <w:rPr>
                <w:color w:val="0070C0"/>
              </w:rPr>
            </w:pPr>
          </w:p>
          <w:p w14:paraId="35D8430E" w14:textId="24965ACD" w:rsidR="00780B4F" w:rsidRPr="0047420C" w:rsidRDefault="008A6814" w:rsidP="00CE64ED">
            <w:pPr>
              <w:rPr>
                <w:color w:val="0070C0"/>
              </w:rPr>
            </w:pPr>
            <w:hyperlink r:id="rId13" w:history="1">
              <w:r w:rsidRPr="0047420C">
                <w:rPr>
                  <w:rStyle w:val="Hyperlink"/>
                  <w:color w:val="0070C0"/>
                </w:rPr>
                <w:t>O'Leary v Mercy University Hospital Cork Ltd [2019] IESC 48 (31 May 2019) - bailii.org</w:t>
              </w:r>
            </w:hyperlink>
          </w:p>
        </w:tc>
        <w:tc>
          <w:tcPr>
            <w:tcW w:w="1343" w:type="pct"/>
          </w:tcPr>
          <w:p w14:paraId="44914D4C" w14:textId="5DB37817" w:rsidR="00780B4F" w:rsidRDefault="00780B4F" w:rsidP="00CE64ED"/>
        </w:tc>
      </w:tr>
      <w:tr w:rsidR="001E7BB7" w14:paraId="301CF8B8" w14:textId="77777777" w:rsidTr="009746A0">
        <w:tc>
          <w:tcPr>
            <w:tcW w:w="710" w:type="pct"/>
          </w:tcPr>
          <w:p w14:paraId="43C9D923" w14:textId="7C3A7A6F" w:rsidR="001E7BB7" w:rsidRDefault="001E7BB7" w:rsidP="00CE64ED">
            <w:r>
              <w:t>Jersey</w:t>
            </w:r>
          </w:p>
        </w:tc>
        <w:tc>
          <w:tcPr>
            <w:tcW w:w="813" w:type="pct"/>
          </w:tcPr>
          <w:p w14:paraId="319BF6EC" w14:textId="6C170226" w:rsidR="001E7BB7" w:rsidRPr="00780B4F" w:rsidRDefault="001E7BB7" w:rsidP="00CE64ED">
            <w:pPr>
              <w:rPr>
                <w:lang w:val="en-US"/>
              </w:rPr>
            </w:pPr>
            <w:r w:rsidRPr="001E7BB7">
              <w:t xml:space="preserve">Practice Direction RC17/09 Expert Evidence </w:t>
            </w:r>
          </w:p>
        </w:tc>
        <w:tc>
          <w:tcPr>
            <w:tcW w:w="2134" w:type="pct"/>
          </w:tcPr>
          <w:p w14:paraId="475C8218" w14:textId="3CEE2939" w:rsidR="001E7BB7" w:rsidRPr="0047420C" w:rsidRDefault="008A6814" w:rsidP="00780B4F">
            <w:pPr>
              <w:rPr>
                <w:color w:val="0070C0"/>
              </w:rPr>
            </w:pPr>
            <w:hyperlink r:id="rId14" w:history="1">
              <w:r w:rsidRPr="0047420C">
                <w:rPr>
                  <w:rStyle w:val="Hyperlink"/>
                  <w:color w:val="0070C0"/>
                </w:rPr>
                <w:t>Practice Direction - RC 17/09 - Expert Evidence - jerseylaw.je</w:t>
              </w:r>
            </w:hyperlink>
          </w:p>
        </w:tc>
        <w:tc>
          <w:tcPr>
            <w:tcW w:w="1343" w:type="pct"/>
          </w:tcPr>
          <w:p w14:paraId="42F79BB3" w14:textId="77777777" w:rsidR="001E7BB7" w:rsidRDefault="001E7BB7" w:rsidP="00CE64ED"/>
        </w:tc>
      </w:tr>
      <w:tr w:rsidR="006A7FB2" w14:paraId="0DDDAF73" w14:textId="77777777" w:rsidTr="009746A0">
        <w:tc>
          <w:tcPr>
            <w:tcW w:w="710" w:type="pct"/>
          </w:tcPr>
          <w:p w14:paraId="6F630387" w14:textId="40A2FEAE" w:rsidR="009F0DA4" w:rsidRDefault="006A7FB2" w:rsidP="009F0DA4">
            <w:r>
              <w:t xml:space="preserve">Northern Ireland </w:t>
            </w:r>
            <w:r w:rsidR="00BE693F">
              <w:t>(Civil)</w:t>
            </w:r>
            <w:r w:rsidR="00BE2AEA">
              <w:t>:</w:t>
            </w:r>
            <w:r w:rsidR="00DB7142">
              <w:t xml:space="preserve"> </w:t>
            </w:r>
            <w:r w:rsidR="009F0DA4" w:rsidRPr="009F0DA4">
              <w:t>other than clinical negligence</w:t>
            </w:r>
            <w:r w:rsidR="00BE2AEA">
              <w:t>;</w:t>
            </w:r>
          </w:p>
          <w:p w14:paraId="41268E31" w14:textId="17A3064E" w:rsidR="00C42416" w:rsidRDefault="00BE2AEA" w:rsidP="009F0DA4">
            <w:proofErr w:type="gramStart"/>
            <w:r>
              <w:t xml:space="preserve">clinical </w:t>
            </w:r>
            <w:r w:rsidR="009F0DA4">
              <w:t xml:space="preserve"> </w:t>
            </w:r>
            <w:r>
              <w:t>negligence</w:t>
            </w:r>
            <w:proofErr w:type="gramEnd"/>
          </w:p>
        </w:tc>
        <w:tc>
          <w:tcPr>
            <w:tcW w:w="813" w:type="pct"/>
          </w:tcPr>
          <w:p w14:paraId="77893A53" w14:textId="77777777" w:rsidR="006A7FB2" w:rsidRDefault="009F0DA4" w:rsidP="00CE64ED">
            <w:r w:rsidRPr="009F0DA4">
              <w:t>Practice Direction 7/2014</w:t>
            </w:r>
            <w:r>
              <w:t xml:space="preserve"> </w:t>
            </w:r>
          </w:p>
          <w:p w14:paraId="3837E13C" w14:textId="77777777" w:rsidR="00B27FE3" w:rsidRDefault="00B27FE3" w:rsidP="00CE64ED"/>
          <w:p w14:paraId="7F29C6D0" w14:textId="1A1524F7" w:rsidR="00BE2AEA" w:rsidRDefault="00B27FE3" w:rsidP="00CE64ED">
            <w:r w:rsidRPr="00B27FE3">
              <w:t>Practice Direction 2/2021  </w:t>
            </w:r>
            <w:r>
              <w:t xml:space="preserve"> </w:t>
            </w:r>
          </w:p>
        </w:tc>
        <w:tc>
          <w:tcPr>
            <w:tcW w:w="2134" w:type="pct"/>
          </w:tcPr>
          <w:p w14:paraId="7511D657" w14:textId="42AB01C0" w:rsidR="00B27FE3" w:rsidRPr="0047420C" w:rsidRDefault="008A6814" w:rsidP="00CE64ED">
            <w:pPr>
              <w:rPr>
                <w:color w:val="0070C0"/>
              </w:rPr>
            </w:pPr>
            <w:hyperlink r:id="rId15" w:history="1">
              <w:r w:rsidRPr="0047420C">
                <w:rPr>
                  <w:rStyle w:val="Hyperlink"/>
                  <w:color w:val="0070C0"/>
                </w:rPr>
                <w:t>Practice Direction 7-14 - Expert declaration.pdf - judiciaryni.uk</w:t>
              </w:r>
            </w:hyperlink>
          </w:p>
          <w:p w14:paraId="00808B31" w14:textId="77777777" w:rsidR="00864979" w:rsidRPr="0047420C" w:rsidRDefault="00864979" w:rsidP="00CE64ED">
            <w:pPr>
              <w:rPr>
                <w:color w:val="0070C0"/>
              </w:rPr>
            </w:pPr>
          </w:p>
          <w:p w14:paraId="00BD11AD" w14:textId="67F13376" w:rsidR="00B27FE3" w:rsidRPr="0047420C" w:rsidRDefault="008A6814" w:rsidP="00CE64ED">
            <w:pPr>
              <w:rPr>
                <w:color w:val="0070C0"/>
              </w:rPr>
            </w:pPr>
            <w:hyperlink r:id="rId16" w:history="1">
              <w:r w:rsidRPr="0047420C">
                <w:rPr>
                  <w:rStyle w:val="Hyperlink"/>
                  <w:color w:val="0070C0"/>
                </w:rPr>
                <w:t>Practice Direction 02-21 Clinical Negligence Litigation in the High Court (2).pdf - judiciaryni.uk</w:t>
              </w:r>
            </w:hyperlink>
          </w:p>
        </w:tc>
        <w:tc>
          <w:tcPr>
            <w:tcW w:w="1343" w:type="pct"/>
          </w:tcPr>
          <w:p w14:paraId="705BD3EA" w14:textId="0441888E" w:rsidR="006A7FB2" w:rsidRDefault="00295E7F" w:rsidP="00CE64ED">
            <w:r w:rsidRPr="00295E7F">
              <w:t>‘</w:t>
            </w:r>
            <w:proofErr w:type="gramStart"/>
            <w:r w:rsidRPr="00295E7F">
              <w:rPr>
                <w:i/>
                <w:iCs/>
              </w:rPr>
              <w:t>shall</w:t>
            </w:r>
            <w:proofErr w:type="gramEnd"/>
            <w:r w:rsidRPr="00295E7F">
              <w:t xml:space="preserve"> contain </w:t>
            </w:r>
            <w:r w:rsidRPr="00295E7F">
              <w:rPr>
                <w:i/>
                <w:iCs/>
              </w:rPr>
              <w:t xml:space="preserve">the </w:t>
            </w:r>
            <w:r w:rsidRPr="00295E7F">
              <w:t>Experts Declaration set out in Annex A’. You have no choice.</w:t>
            </w:r>
          </w:p>
        </w:tc>
      </w:tr>
      <w:tr w:rsidR="009569B4" w14:paraId="2051E613" w14:textId="77777777" w:rsidTr="009746A0">
        <w:tc>
          <w:tcPr>
            <w:tcW w:w="710" w:type="pct"/>
          </w:tcPr>
          <w:p w14:paraId="3C458AD8" w14:textId="17E5B4FB" w:rsidR="009569B4" w:rsidRDefault="009569B4" w:rsidP="009F0DA4">
            <w:r>
              <w:t xml:space="preserve">Northern Ireland (Criminal) </w:t>
            </w:r>
          </w:p>
        </w:tc>
        <w:tc>
          <w:tcPr>
            <w:tcW w:w="813" w:type="pct"/>
          </w:tcPr>
          <w:p w14:paraId="52EC482D" w14:textId="77777777" w:rsidR="009569B4" w:rsidRPr="009F0DA4" w:rsidRDefault="009569B4" w:rsidP="00CE64ED"/>
        </w:tc>
        <w:tc>
          <w:tcPr>
            <w:tcW w:w="2134" w:type="pct"/>
          </w:tcPr>
          <w:p w14:paraId="4D99B9AB" w14:textId="77777777" w:rsidR="009569B4" w:rsidRPr="0047420C" w:rsidRDefault="009569B4" w:rsidP="00CE64ED">
            <w:pPr>
              <w:rPr>
                <w:color w:val="0070C0"/>
              </w:rPr>
            </w:pPr>
          </w:p>
        </w:tc>
        <w:tc>
          <w:tcPr>
            <w:tcW w:w="1343" w:type="pct"/>
          </w:tcPr>
          <w:p w14:paraId="1D74AE5D" w14:textId="4F96E94B" w:rsidR="009569B4" w:rsidRPr="00295E7F" w:rsidRDefault="009569B4" w:rsidP="00CE64ED">
            <w:r>
              <w:t>See below</w:t>
            </w:r>
          </w:p>
        </w:tc>
      </w:tr>
      <w:tr w:rsidR="000526F7" w14:paraId="535D87E8" w14:textId="77777777" w:rsidTr="009746A0">
        <w:tc>
          <w:tcPr>
            <w:tcW w:w="710" w:type="pct"/>
          </w:tcPr>
          <w:p w14:paraId="2E168CBC" w14:textId="49A91A41" w:rsidR="000526F7" w:rsidRDefault="000526F7" w:rsidP="009F0DA4">
            <w:r>
              <w:t>Scotland</w:t>
            </w:r>
          </w:p>
        </w:tc>
        <w:tc>
          <w:tcPr>
            <w:tcW w:w="813" w:type="pct"/>
          </w:tcPr>
          <w:p w14:paraId="3221C238" w14:textId="5B482889" w:rsidR="000526F7" w:rsidRPr="009F0DA4" w:rsidRDefault="00780B4F" w:rsidP="00CE64ED">
            <w:r w:rsidRPr="00780B4F">
              <w:rPr>
                <w:lang w:val="en-US"/>
              </w:rPr>
              <w:t xml:space="preserve">Law Society of Scotland </w:t>
            </w:r>
            <w:r w:rsidRPr="00780B4F">
              <w:rPr>
                <w:i/>
                <w:iCs/>
                <w:lang w:val="en-US"/>
              </w:rPr>
              <w:t xml:space="preserve">Expert Witness Code of Practice </w:t>
            </w:r>
          </w:p>
        </w:tc>
        <w:tc>
          <w:tcPr>
            <w:tcW w:w="2134" w:type="pct"/>
          </w:tcPr>
          <w:p w14:paraId="5424A17B" w14:textId="79BA85F1" w:rsidR="000526F7" w:rsidRPr="0047420C" w:rsidRDefault="0047420C" w:rsidP="00CE64ED">
            <w:pPr>
              <w:rPr>
                <w:color w:val="0070C0"/>
              </w:rPr>
            </w:pPr>
            <w:hyperlink r:id="rId17" w:history="1">
              <w:r w:rsidRPr="0047420C">
                <w:rPr>
                  <w:rStyle w:val="Hyperlink"/>
                  <w:color w:val="0070C0"/>
                </w:rPr>
                <w:t>Expert witness code of practice | Law Society of Scotland - lawscot.org.uk</w:t>
              </w:r>
            </w:hyperlink>
            <w:r w:rsidRPr="0047420C">
              <w:rPr>
                <w:color w:val="0070C0"/>
              </w:rPr>
              <w:t xml:space="preserve"> - </w:t>
            </w:r>
          </w:p>
        </w:tc>
        <w:tc>
          <w:tcPr>
            <w:tcW w:w="1343" w:type="pct"/>
          </w:tcPr>
          <w:p w14:paraId="1C53BBEF" w14:textId="39A67C00" w:rsidR="000526F7" w:rsidRDefault="000526F7" w:rsidP="00CE64ED">
            <w:r>
              <w:t>See below</w:t>
            </w:r>
          </w:p>
        </w:tc>
      </w:tr>
    </w:tbl>
    <w:p w14:paraId="0D72E504" w14:textId="77777777" w:rsidR="00D67888" w:rsidRDefault="00D67888" w:rsidP="00C532EF">
      <w:pPr>
        <w:jc w:val="center"/>
      </w:pPr>
    </w:p>
    <w:p w14:paraId="28A956D2" w14:textId="77777777" w:rsidR="00022978" w:rsidRDefault="00022978" w:rsidP="00C532EF">
      <w:pPr>
        <w:jc w:val="center"/>
      </w:pPr>
    </w:p>
    <w:p w14:paraId="2B5E7497" w14:textId="77777777" w:rsidR="009746A0" w:rsidRDefault="009746A0" w:rsidP="00C532EF">
      <w:pPr>
        <w:jc w:val="center"/>
      </w:pPr>
    </w:p>
    <w:p w14:paraId="0C7E8C2C" w14:textId="77777777" w:rsidR="009746A0" w:rsidRDefault="009746A0" w:rsidP="00C532EF">
      <w:pPr>
        <w:jc w:val="center"/>
      </w:pPr>
    </w:p>
    <w:p w14:paraId="7B8B2BE4" w14:textId="77777777" w:rsidR="0047420C" w:rsidRDefault="0047420C" w:rsidP="00C532EF">
      <w:pPr>
        <w:jc w:val="center"/>
      </w:pPr>
    </w:p>
    <w:p w14:paraId="4E34D67C" w14:textId="77777777" w:rsidR="0047420C" w:rsidRDefault="0047420C" w:rsidP="00C532EF">
      <w:pPr>
        <w:jc w:val="center"/>
      </w:pPr>
    </w:p>
    <w:p w14:paraId="285FFAF6" w14:textId="77777777" w:rsidR="00022978" w:rsidRDefault="00022978" w:rsidP="00C532EF">
      <w:pPr>
        <w:jc w:val="center"/>
      </w:pPr>
    </w:p>
    <w:p w14:paraId="6C64BC50" w14:textId="77777777" w:rsidR="0047420C" w:rsidRDefault="0047420C" w:rsidP="00C532EF">
      <w:pPr>
        <w:jc w:val="center"/>
      </w:pPr>
    </w:p>
    <w:p w14:paraId="22B50728" w14:textId="2BE11CB3" w:rsidR="00E97932" w:rsidRDefault="00B83618" w:rsidP="004738F9">
      <w:pPr>
        <w:rPr>
          <w:b/>
          <w:bCs/>
        </w:rPr>
      </w:pPr>
      <w:r>
        <w:rPr>
          <w:b/>
          <w:bCs/>
        </w:rPr>
        <w:t>England and Wales (</w:t>
      </w:r>
      <w:r w:rsidR="00E97932">
        <w:rPr>
          <w:b/>
          <w:bCs/>
        </w:rPr>
        <w:t>Imm</w:t>
      </w:r>
      <w:r>
        <w:rPr>
          <w:b/>
          <w:bCs/>
        </w:rPr>
        <w:t>igration and Asylum</w:t>
      </w:r>
      <w:r w:rsidR="006D451E">
        <w:rPr>
          <w:b/>
          <w:bCs/>
        </w:rPr>
        <w:t>)</w:t>
      </w:r>
    </w:p>
    <w:p w14:paraId="03D44871" w14:textId="696B9D84" w:rsidR="00E64949" w:rsidRPr="00E64949" w:rsidRDefault="00F81715" w:rsidP="00E64949">
      <w:r>
        <w:t>The Practice Dire</w:t>
      </w:r>
      <w:r w:rsidR="003C4018">
        <w:t>ction</w:t>
      </w:r>
      <w:r w:rsidR="00927DF6">
        <w:t xml:space="preserve"> requires nothing more than </w:t>
      </w:r>
      <w:r w:rsidR="00927DF6" w:rsidRPr="00927DF6">
        <w:t>a statement that the expert understands their duty to the Tribunal and has complied, and will continue to comply, with that duty</w:t>
      </w:r>
      <w:r w:rsidR="00927DF6">
        <w:t xml:space="preserve">. </w:t>
      </w:r>
      <w:r w:rsidR="000D508B">
        <w:t xml:space="preserve">However, </w:t>
      </w:r>
      <w:r w:rsidR="00E64949">
        <w:t>in</w:t>
      </w:r>
      <w:r w:rsidR="000D508B">
        <w:t xml:space="preserve"> </w:t>
      </w:r>
      <w:r w:rsidR="00E64949" w:rsidRPr="00E64949">
        <w:rPr>
          <w:i/>
          <w:iCs/>
        </w:rPr>
        <w:t>BM (Iraq) v The Secretary of State for the Home Department</w:t>
      </w:r>
      <w:r w:rsidR="00E64949" w:rsidRPr="00E64949">
        <w:t xml:space="preserve"> [2024] UKAITUR UI2023005210</w:t>
      </w:r>
      <w:r w:rsidR="009455FE">
        <w:t xml:space="preserve">, an expert was criticised </w:t>
      </w:r>
      <w:r w:rsidR="001606A6">
        <w:t>because he did “</w:t>
      </w:r>
      <w:r w:rsidR="00CA25B1" w:rsidRPr="00CA25B1">
        <w:t>not expressly acknowledge the guidance provided in the </w:t>
      </w:r>
      <w:r w:rsidR="00CA25B1" w:rsidRPr="00CA25B1">
        <w:rPr>
          <w:i/>
          <w:iCs/>
        </w:rPr>
        <w:t>Ikarian Reefer</w:t>
      </w:r>
      <w:r w:rsidR="00CA25B1" w:rsidRPr="00CA25B1">
        <w:t> in his declaration, a step taken by many experts who prepare reports for this Chamber</w:t>
      </w:r>
      <w:r w:rsidR="00CA25B1">
        <w:t>”</w:t>
      </w:r>
      <w:r w:rsidR="00CA25B1" w:rsidRPr="00CA25B1">
        <w:t>.</w:t>
      </w:r>
      <w:r w:rsidR="00E64949" w:rsidRPr="00E64949">
        <w:t xml:space="preserve"> </w:t>
      </w:r>
    </w:p>
    <w:p w14:paraId="5284687B" w14:textId="46D27673" w:rsidR="00B83618" w:rsidRDefault="00E64949" w:rsidP="004738F9">
      <w:r w:rsidRPr="00E64949">
        <w:t xml:space="preserve">A declaration is required, whether or not referring </w:t>
      </w:r>
      <w:r w:rsidR="00714E66">
        <w:t>expressly</w:t>
      </w:r>
      <w:r w:rsidRPr="00E64949">
        <w:t xml:space="preserve"> to the </w:t>
      </w:r>
      <w:r w:rsidRPr="00E64949">
        <w:rPr>
          <w:i/>
          <w:iCs/>
        </w:rPr>
        <w:t>Ikarian Reefer</w:t>
      </w:r>
      <w:r w:rsidRPr="00E64949">
        <w:t xml:space="preserve">, </w:t>
      </w:r>
      <w:r w:rsidR="005B4D38">
        <w:t>that indicates</w:t>
      </w:r>
      <w:r w:rsidRPr="00E64949">
        <w:t xml:space="preserve"> compli</w:t>
      </w:r>
      <w:r w:rsidR="005B4D38">
        <w:t>ance</w:t>
      </w:r>
      <w:r w:rsidRPr="00E64949">
        <w:t xml:space="preserve"> with </w:t>
      </w:r>
      <w:r w:rsidR="00154391">
        <w:t xml:space="preserve">the </w:t>
      </w:r>
      <w:r w:rsidR="00154391">
        <w:rPr>
          <w:i/>
          <w:iCs/>
        </w:rPr>
        <w:t>Ikarian Reefer</w:t>
      </w:r>
      <w:r w:rsidRPr="00E64949">
        <w:t xml:space="preserve"> requirements as to expert evidence.</w:t>
      </w:r>
      <w:r w:rsidR="00154391">
        <w:t xml:space="preserve"> </w:t>
      </w:r>
      <w:r w:rsidR="003C4F6D" w:rsidRPr="003C4F6D">
        <w:t>The ‘extended’ declarations advocated by Bond Solon, The Academy of Experts and the Expert Witness Institute</w:t>
      </w:r>
      <w:r w:rsidR="00EA03DB">
        <w:t xml:space="preserve">, on which the Northern Ireland civil declarations and the England and Wales </w:t>
      </w:r>
      <w:r w:rsidR="00604F71">
        <w:t>declaration for criminal proceedings</w:t>
      </w:r>
      <w:r w:rsidR="00217D5F">
        <w:t xml:space="preserve"> </w:t>
      </w:r>
      <w:r w:rsidR="003C4F6D" w:rsidRPr="003C4F6D">
        <w:t>are based in part</w:t>
      </w:r>
      <w:r w:rsidR="00217D5F">
        <w:t>,</w:t>
      </w:r>
      <w:r w:rsidR="003C4F6D" w:rsidRPr="003C4F6D">
        <w:t xml:space="preserve"> </w:t>
      </w:r>
      <w:r w:rsidR="00217D5F">
        <w:t xml:space="preserve">reflect the </w:t>
      </w:r>
      <w:r w:rsidR="006D451E">
        <w:t>requirements set out in</w:t>
      </w:r>
      <w:r w:rsidR="003C4F6D" w:rsidRPr="003C4F6D">
        <w:t xml:space="preserve"> the </w:t>
      </w:r>
      <w:r w:rsidR="003C4F6D" w:rsidRPr="003C4F6D">
        <w:rPr>
          <w:i/>
          <w:iCs/>
        </w:rPr>
        <w:t>Ikarian Reefer</w:t>
      </w:r>
      <w:r w:rsidR="003C4F6D" w:rsidRPr="003C4F6D">
        <w:t>.</w:t>
      </w:r>
    </w:p>
    <w:p w14:paraId="3F9F4417" w14:textId="0AAAFAE6" w:rsidR="00D92BF3" w:rsidRPr="00D92BF3" w:rsidRDefault="005B02A4" w:rsidP="00D92BF3">
      <w:r>
        <w:t xml:space="preserve">Consider </w:t>
      </w:r>
      <w:r w:rsidR="00154391">
        <w:t xml:space="preserve">also </w:t>
      </w:r>
      <w:r w:rsidR="00D92BF3">
        <w:t xml:space="preserve">referring to familiarity with </w:t>
      </w:r>
      <w:r w:rsidR="00D92BF3" w:rsidRPr="00D92BF3">
        <w:rPr>
          <w:i/>
          <w:iCs/>
        </w:rPr>
        <w:t>MOJ (Return to Mogadishu) Somalia CG</w:t>
      </w:r>
      <w:r w:rsidR="00D92BF3" w:rsidRPr="00D92BF3">
        <w:t xml:space="preserve"> [2014] UKUT 00442 (IAC)</w:t>
      </w:r>
      <w:r w:rsidR="00D92BF3">
        <w:t>,</w:t>
      </w:r>
      <w:r w:rsidR="00D92BF3" w:rsidRPr="00D92BF3">
        <w:rPr>
          <w:rFonts w:ascii="Aptos" w:hAnsi="Aptos" w:cs="Aptos"/>
          <w:i/>
          <w:iCs/>
          <w:kern w:val="0"/>
          <w14:ligatures w14:val="none"/>
        </w:rPr>
        <w:t xml:space="preserve"> </w:t>
      </w:r>
      <w:r w:rsidR="00D92BF3" w:rsidRPr="00D92BF3">
        <w:rPr>
          <w:i/>
          <w:iCs/>
        </w:rPr>
        <w:t xml:space="preserve">HA (expert evidence, mental health) Sri Lanka </w:t>
      </w:r>
      <w:r w:rsidR="00D92BF3" w:rsidRPr="00D92BF3">
        <w:t xml:space="preserve">[2022] UKUT 111 (IAC) and </w:t>
      </w:r>
      <w:r w:rsidR="00D92BF3" w:rsidRPr="00D92BF3">
        <w:rPr>
          <w:i/>
          <w:iCs/>
        </w:rPr>
        <w:t>CE (Cameroon) v Secretary of State for the Home Department</w:t>
      </w:r>
      <w:r w:rsidR="00D92BF3" w:rsidRPr="00D92BF3">
        <w:t xml:space="preserve"> [2023] UKAITUR PA011122020</w:t>
      </w:r>
      <w:r w:rsidR="00D92BF3">
        <w:t>,</w:t>
      </w:r>
      <w:r w:rsidR="00D92BF3" w:rsidRPr="00D92BF3">
        <w:t xml:space="preserve"> </w:t>
      </w:r>
      <w:r w:rsidR="00911D47">
        <w:t xml:space="preserve">as appropriate, </w:t>
      </w:r>
      <w:r w:rsidR="00D92BF3" w:rsidRPr="00D92BF3">
        <w:t xml:space="preserve">so far as they relate to expert evidence. </w:t>
      </w:r>
    </w:p>
    <w:p w14:paraId="72975CED" w14:textId="4FF5C5E0" w:rsidR="00B62D69" w:rsidRDefault="00B62D69" w:rsidP="004738F9">
      <w:pPr>
        <w:rPr>
          <w:b/>
          <w:bCs/>
        </w:rPr>
      </w:pPr>
      <w:r>
        <w:rPr>
          <w:b/>
          <w:bCs/>
        </w:rPr>
        <w:t>Northern Ireland (Criminal)</w:t>
      </w:r>
    </w:p>
    <w:p w14:paraId="3865CE06" w14:textId="3EA216F6" w:rsidR="00B62D69" w:rsidRPr="00B62D69" w:rsidRDefault="00B62D69" w:rsidP="00B62D69">
      <w:r w:rsidRPr="00B62D69">
        <w:t xml:space="preserve">In criminal cases it does not appear that there is a </w:t>
      </w:r>
      <w:r w:rsidRPr="00B62D69">
        <w:rPr>
          <w:i/>
          <w:iCs/>
        </w:rPr>
        <w:t>requirement</w:t>
      </w:r>
      <w:r w:rsidRPr="00B62D69">
        <w:t xml:space="preserve"> </w:t>
      </w:r>
      <w:r>
        <w:t>for a declaration in criminal cases</w:t>
      </w:r>
      <w:r w:rsidRPr="00B62D69">
        <w:t xml:space="preserve">. However, there is no reason to suppose that the expectations of an expert witness are different to those in England and Wales. </w:t>
      </w:r>
      <w:r>
        <w:t>One option is to</w:t>
      </w:r>
      <w:r w:rsidRPr="00B62D69">
        <w:t xml:space="preserve"> use a modified version of that use</w:t>
      </w:r>
      <w:r>
        <w:t>d</w:t>
      </w:r>
      <w:r w:rsidRPr="00B62D69">
        <w:t xml:space="preserve"> in order to comply with the requirements of CrimPR. </w:t>
      </w:r>
      <w:r>
        <w:t xml:space="preserve">Probably </w:t>
      </w:r>
      <w:r w:rsidRPr="00B62D69">
        <w:t>the only modification would be either to exclude the reference to Part 19 and the PD or amend it to read:</w:t>
      </w:r>
    </w:p>
    <w:p w14:paraId="349D99C4" w14:textId="0C0B0B49" w:rsidR="00B62D69" w:rsidRPr="00B62D69" w:rsidRDefault="00E030B7" w:rsidP="00B62D69">
      <w:pPr>
        <w:ind w:left="720"/>
      </w:pPr>
      <w:r>
        <w:t>“</w:t>
      </w:r>
      <w:r w:rsidR="00B62D69" w:rsidRPr="00B62D69">
        <w:t>This declaration is based on that set out in chapter 7 of the Criminal Practice Directions 2023 of England and Wales on the assumption that there is no difference between the jurisdictions in terms of the duties and responsibilities of an expert witness.</w:t>
      </w:r>
      <w:r>
        <w:t>”</w:t>
      </w:r>
    </w:p>
    <w:p w14:paraId="1D20C906" w14:textId="70343BD4" w:rsidR="00B62D69" w:rsidRPr="00B62D69" w:rsidRDefault="00E030B7" w:rsidP="00B62D69">
      <w:r>
        <w:t>The</w:t>
      </w:r>
      <w:r w:rsidR="00B62D69" w:rsidRPr="00B62D69">
        <w:t xml:space="preserve"> second option, which is probably the preferred option as it accords with established practice in Northern Ireland, is to adapt one of the two declarations used in personal injury cases in Northern Ireland and, </w:t>
      </w:r>
      <w:r>
        <w:t>perhaps</w:t>
      </w:r>
      <w:r w:rsidR="00B62D69" w:rsidRPr="00B62D69">
        <w:t xml:space="preserve">, I would suggest the clinical negligence declaration on the basis that it is the more comprehensive and </w:t>
      </w:r>
      <w:proofErr w:type="gramStart"/>
      <w:r w:rsidR="00B62D69" w:rsidRPr="00B62D69">
        <w:t>up-to-date</w:t>
      </w:r>
      <w:proofErr w:type="gramEnd"/>
      <w:r w:rsidR="00B62D69" w:rsidRPr="00B62D69">
        <w:t xml:space="preserve"> of the two. The adaptations are:</w:t>
      </w:r>
    </w:p>
    <w:p w14:paraId="0DCCB656" w14:textId="77777777" w:rsidR="00B62D69" w:rsidRPr="00B62D69" w:rsidRDefault="00B62D69" w:rsidP="00B62D69">
      <w:r w:rsidRPr="00B62D69">
        <w:t>               d. Substitute ‘any’ for ‘the’.</w:t>
      </w:r>
    </w:p>
    <w:p w14:paraId="017BBBD7" w14:textId="77777777" w:rsidR="00B62D69" w:rsidRPr="00B62D69" w:rsidRDefault="00B62D69" w:rsidP="00B62D69">
      <w:r w:rsidRPr="00B62D69">
        <w:t>               Delete f.</w:t>
      </w:r>
    </w:p>
    <w:p w14:paraId="02E1DC3C" w14:textId="77777777" w:rsidR="00B62D69" w:rsidRPr="00B62D69" w:rsidRDefault="00B62D69" w:rsidP="00B62D69">
      <w:r w:rsidRPr="00B62D69">
        <w:t xml:space="preserve">               h. Delate ‘this Practice Direction’. </w:t>
      </w:r>
    </w:p>
    <w:p w14:paraId="2DCA94F5" w14:textId="057DBE96" w:rsidR="00B62D69" w:rsidRPr="00B62D69" w:rsidRDefault="00E030B7" w:rsidP="00B62D69">
      <w:r>
        <w:lastRenderedPageBreak/>
        <w:t xml:space="preserve">Consider </w:t>
      </w:r>
      <w:r w:rsidR="00B62D69" w:rsidRPr="00B62D69">
        <w:t>insert</w:t>
      </w:r>
      <w:r>
        <w:t>ing</w:t>
      </w:r>
      <w:r w:rsidR="00B62D69" w:rsidRPr="00B62D69">
        <w:t>:</w:t>
      </w:r>
    </w:p>
    <w:p w14:paraId="4FC151F5" w14:textId="73CF721F" w:rsidR="00B62D69" w:rsidRPr="00B62D69" w:rsidRDefault="00E030B7" w:rsidP="00E030B7">
      <w:pPr>
        <w:ind w:left="720"/>
      </w:pPr>
      <w:r>
        <w:t>“</w:t>
      </w:r>
      <w:r w:rsidR="00B62D69" w:rsidRPr="00B62D69">
        <w:t>This declaration is based on that set out in Practice Direction 2/2021 on the assumption that there is no significant difference between clinical negligence and criminal cases in terms of the duties and responsibilities of an expert witness.</w:t>
      </w:r>
      <w:r>
        <w:t>”</w:t>
      </w:r>
    </w:p>
    <w:p w14:paraId="4671F21E" w14:textId="0C0C0D59" w:rsidR="00B62D69" w:rsidRPr="00B62D69" w:rsidRDefault="005F739D" w:rsidP="00B62D69">
      <w:r>
        <w:t>U</w:t>
      </w:r>
      <w:r w:rsidR="00B62D69" w:rsidRPr="00B62D69">
        <w:t>s</w:t>
      </w:r>
      <w:r>
        <w:t>e</w:t>
      </w:r>
      <w:r w:rsidR="00B62D69" w:rsidRPr="00B62D69">
        <w:t xml:space="preserve"> the same declaration of truth as in </w:t>
      </w:r>
      <w:r>
        <w:t xml:space="preserve">criminal cases in </w:t>
      </w:r>
      <w:r w:rsidR="00B62D69" w:rsidRPr="00B62D69">
        <w:t>England and Wales as this is also used in Northern Ireland in criminal cases.  </w:t>
      </w:r>
    </w:p>
    <w:p w14:paraId="417580CD" w14:textId="77777777" w:rsidR="000526F7" w:rsidRDefault="000526F7" w:rsidP="004738F9">
      <w:pPr>
        <w:rPr>
          <w:b/>
          <w:bCs/>
        </w:rPr>
      </w:pPr>
      <w:r>
        <w:rPr>
          <w:b/>
          <w:bCs/>
        </w:rPr>
        <w:t>Scotland</w:t>
      </w:r>
    </w:p>
    <w:p w14:paraId="026E0A13" w14:textId="77777777" w:rsidR="000526F7" w:rsidRPr="000526F7" w:rsidRDefault="000526F7" w:rsidP="000526F7">
      <w:r w:rsidRPr="000526F7">
        <w:t xml:space="preserve">In </w:t>
      </w:r>
      <w:r w:rsidRPr="000526F7">
        <w:rPr>
          <w:i/>
          <w:iCs/>
        </w:rPr>
        <w:t>Petition of Dobbies Garden Centres LTD (Court of Session)</w:t>
      </w:r>
      <w:r w:rsidRPr="000526F7">
        <w:t xml:space="preserve"> [2024] CSOH 111, Lord Braid said that “CPR Part 35 has no application in Scotland, although the duties owed by an expert [in Scotland] are broadly similar to the duties under it.”</w:t>
      </w:r>
    </w:p>
    <w:p w14:paraId="52852FBA" w14:textId="77777777" w:rsidR="000526F7" w:rsidRPr="000526F7" w:rsidRDefault="000526F7" w:rsidP="000526F7">
      <w:pPr>
        <w:rPr>
          <w:lang w:val="en-US"/>
        </w:rPr>
      </w:pPr>
      <w:r w:rsidRPr="000526F7">
        <w:t xml:space="preserve">There is the related issue of whether a report in Scotland should include an experts’ declaration to the effect that the expert or skilled witness has complied with their duties. There was approval of the practice </w:t>
      </w:r>
      <w:r w:rsidRPr="000526F7">
        <w:rPr>
          <w:lang w:val="en-US"/>
        </w:rPr>
        <w:t xml:space="preserve">in </w:t>
      </w:r>
      <w:proofErr w:type="spellStart"/>
      <w:r w:rsidRPr="000526F7">
        <w:rPr>
          <w:i/>
          <w:iCs/>
          <w:lang w:val="en-US"/>
        </w:rPr>
        <w:t>Reactec</w:t>
      </w:r>
      <w:proofErr w:type="spellEnd"/>
      <w:r w:rsidRPr="000526F7">
        <w:rPr>
          <w:i/>
          <w:iCs/>
          <w:lang w:val="en-US"/>
        </w:rPr>
        <w:t xml:space="preserve"> Limited v </w:t>
      </w:r>
      <w:proofErr w:type="spellStart"/>
      <w:r w:rsidRPr="000526F7">
        <w:rPr>
          <w:i/>
          <w:iCs/>
          <w:lang w:val="en-US"/>
        </w:rPr>
        <w:t>Curotec</w:t>
      </w:r>
      <w:proofErr w:type="spellEnd"/>
      <w:r w:rsidRPr="000526F7">
        <w:rPr>
          <w:i/>
          <w:iCs/>
          <w:lang w:val="en-US"/>
        </w:rPr>
        <w:t xml:space="preserve"> Team Limited </w:t>
      </w:r>
      <w:r w:rsidRPr="000526F7">
        <w:rPr>
          <w:lang w:val="en-US"/>
        </w:rPr>
        <w:t>[2020] CSOH 77, where the court noted that the expert had made ‘the customary declarations expected of a skilled witness’. The judgment quotes several paragraphs from the expert’s declaration:</w:t>
      </w:r>
    </w:p>
    <w:p w14:paraId="5A84CE95" w14:textId="77777777" w:rsidR="000526F7" w:rsidRPr="000526F7" w:rsidRDefault="000526F7" w:rsidP="000526F7">
      <w:pPr>
        <w:ind w:left="720" w:hanging="720"/>
        <w:rPr>
          <w:lang w:val="en-US"/>
        </w:rPr>
      </w:pPr>
      <w:r w:rsidRPr="000526F7">
        <w:rPr>
          <w:lang w:val="en-US"/>
        </w:rPr>
        <w:tab/>
        <w:t xml:space="preserve">‘… 4.  It has been explained to me by Harper Macleod that it is my role to assist the Court in an unbiased manner and that my duties to the Court override any duty I owe to </w:t>
      </w:r>
      <w:proofErr w:type="spellStart"/>
      <w:r w:rsidRPr="000526F7">
        <w:rPr>
          <w:lang w:val="en-US"/>
        </w:rPr>
        <w:t>Reactec</w:t>
      </w:r>
      <w:proofErr w:type="spellEnd"/>
      <w:r w:rsidRPr="000526F7">
        <w:rPr>
          <w:lang w:val="en-US"/>
        </w:rPr>
        <w:t xml:space="preserve">. I have kept this </w:t>
      </w:r>
      <w:proofErr w:type="gramStart"/>
      <w:r w:rsidRPr="000526F7">
        <w:rPr>
          <w:lang w:val="en-US"/>
        </w:rPr>
        <w:t>firmly</w:t>
      </w:r>
      <w:proofErr w:type="gramEnd"/>
      <w:r w:rsidRPr="000526F7">
        <w:rPr>
          <w:lang w:val="en-US"/>
        </w:rPr>
        <w:t xml:space="preserve"> in mind when preparing this report.</w:t>
      </w:r>
    </w:p>
    <w:p w14:paraId="33F61D12" w14:textId="77777777" w:rsidR="000526F7" w:rsidRPr="000526F7" w:rsidRDefault="000526F7" w:rsidP="000526F7">
      <w:pPr>
        <w:ind w:left="720"/>
        <w:rPr>
          <w:lang w:val="en-US"/>
        </w:rPr>
      </w:pPr>
      <w:r w:rsidRPr="000526F7">
        <w:rPr>
          <w:lang w:val="en-US"/>
        </w:rPr>
        <w:t>5.  I have been provided with a copy of the Law Society of Scotland's Expert Witness Code of Practice and I have read and understood its content.</w:t>
      </w:r>
    </w:p>
    <w:p w14:paraId="03C60772" w14:textId="77777777" w:rsidR="000526F7" w:rsidRPr="000526F7" w:rsidRDefault="000526F7" w:rsidP="00F14EA8">
      <w:pPr>
        <w:ind w:left="720"/>
        <w:rPr>
          <w:lang w:val="en-US"/>
        </w:rPr>
      </w:pPr>
      <w:r w:rsidRPr="000526F7">
        <w:rPr>
          <w:lang w:val="en-US"/>
        </w:rPr>
        <w:t xml:space="preserve">6.  I have also read and understood the discussion of the duties and responsibilities of expert witnesses in (1) the judgment of Mr. Justice Cresswell in </w:t>
      </w:r>
      <w:r w:rsidRPr="000526F7">
        <w:rPr>
          <w:i/>
          <w:iCs/>
          <w:lang w:val="en-US"/>
        </w:rPr>
        <w:t xml:space="preserve">The Ikarian Reefer </w:t>
      </w:r>
      <w:r w:rsidRPr="000526F7">
        <w:rPr>
          <w:lang w:val="en-US"/>
        </w:rPr>
        <w:t>[1993] FSR 563; and (2) paragraphs 99-114 of the judgment of Mr Justice Arnold in the English High Court in </w:t>
      </w:r>
      <w:r w:rsidRPr="000526F7">
        <w:rPr>
          <w:i/>
          <w:iCs/>
          <w:lang w:val="en-US"/>
        </w:rPr>
        <w:t xml:space="preserve">Medimmune v Novartis Pharmaceuticals </w:t>
      </w:r>
      <w:r w:rsidRPr="000526F7">
        <w:rPr>
          <w:lang w:val="en-US"/>
        </w:rPr>
        <w:t>[2011] EWHC 1669 (Pat), which discuss the preparation of experts' reports in patent cases. I am told by Harper Macleod that these points are as relevant in the Scottish Courts as they are in England.</w:t>
      </w:r>
    </w:p>
    <w:p w14:paraId="5F1853F7" w14:textId="77777777" w:rsidR="000526F7" w:rsidRPr="000526F7" w:rsidRDefault="000526F7" w:rsidP="00F14EA8">
      <w:pPr>
        <w:ind w:firstLine="720"/>
        <w:rPr>
          <w:lang w:val="en-US"/>
        </w:rPr>
      </w:pPr>
      <w:r w:rsidRPr="000526F7">
        <w:rPr>
          <w:lang w:val="en-US"/>
        </w:rPr>
        <w:t>7.  I understand my duty to the Court and I have complied with that duty.</w:t>
      </w:r>
    </w:p>
    <w:p w14:paraId="435A035F" w14:textId="77777777" w:rsidR="000526F7" w:rsidRPr="000526F7" w:rsidRDefault="000526F7" w:rsidP="00F14EA8">
      <w:pPr>
        <w:ind w:left="720"/>
        <w:rPr>
          <w:lang w:val="en-US"/>
        </w:rPr>
      </w:pPr>
      <w:r w:rsidRPr="000526F7">
        <w:rPr>
          <w:lang w:val="en-US"/>
        </w:rPr>
        <w:t>8.  In preparing this report, I believe that I have given an objective appraisal of all the issues that I have been asked to discuss. I have been assisted by Harper Macleod in preparing this report, but confirm nonetheless that this report accurately reflects my knowledge and opinions.’</w:t>
      </w:r>
    </w:p>
    <w:p w14:paraId="1588822E" w14:textId="77EDB0A2" w:rsidR="000526F7" w:rsidRDefault="000526F7" w:rsidP="004738F9">
      <w:r w:rsidRPr="000526F7">
        <w:lastRenderedPageBreak/>
        <w:t xml:space="preserve">This case also illustrates a number of points that are applicable not just in Scotland. It is helpful, if not necessary, to tailor the declaration to the particular case. Where there is guidance from the courts concerning the preparation of expert reports in a particular type of case - in this case a patent case - the expert should declare that they have read, and complied with, it. </w:t>
      </w:r>
    </w:p>
    <w:p w14:paraId="5D3CC6DF" w14:textId="2799050E" w:rsidR="00153940" w:rsidRPr="00153940" w:rsidRDefault="00153940" w:rsidP="004738F9">
      <w:pPr>
        <w:rPr>
          <w:b/>
          <w:bCs/>
        </w:rPr>
      </w:pPr>
      <w:r w:rsidRPr="00153940">
        <w:rPr>
          <w:b/>
          <w:bCs/>
        </w:rPr>
        <w:t>Parole Board</w:t>
      </w:r>
    </w:p>
    <w:p w14:paraId="6F804DE0" w14:textId="58D20AB5" w:rsidR="00153940" w:rsidRPr="000526F7" w:rsidRDefault="005462BF" w:rsidP="004738F9">
      <w:r>
        <w:t xml:space="preserve">There does not appear to </w:t>
      </w:r>
      <w:r w:rsidR="001478DF">
        <w:t xml:space="preserve">be </w:t>
      </w:r>
      <w:r w:rsidR="00343F92">
        <w:t xml:space="preserve">a requirement for </w:t>
      </w:r>
      <w:r w:rsidR="00EB4F9F">
        <w:t>a declaration and statement of truth</w:t>
      </w:r>
      <w:r w:rsidR="00407EB6">
        <w:t xml:space="preserve">. </w:t>
      </w:r>
      <w:r w:rsidR="00D64380">
        <w:t xml:space="preserve">The criminal </w:t>
      </w:r>
      <w:r w:rsidR="00C3359A">
        <w:t>declaration and statement of truth can be adapted.</w:t>
      </w:r>
    </w:p>
    <w:p w14:paraId="6421DE0C" w14:textId="53DB0CD7" w:rsidR="00830042" w:rsidRPr="009569B4" w:rsidRDefault="009569B4" w:rsidP="004738F9">
      <w:pPr>
        <w:rPr>
          <w:b/>
          <w:bCs/>
        </w:rPr>
      </w:pPr>
      <w:r w:rsidRPr="009569B4">
        <w:rPr>
          <w:b/>
          <w:bCs/>
        </w:rPr>
        <w:t>Pre-action and advisory reports</w:t>
      </w:r>
    </w:p>
    <w:p w14:paraId="0B67CBC8" w14:textId="37C08BE1" w:rsidR="004738F9" w:rsidRDefault="00A143C8" w:rsidP="004738F9">
      <w:r>
        <w:t xml:space="preserve">Reports, such as pre-action reports in civil proceedings </w:t>
      </w:r>
      <w:r w:rsidR="0004790C">
        <w:t xml:space="preserve">and advisory reports, are not </w:t>
      </w:r>
      <w:r w:rsidR="00434C3F">
        <w:t>governed by procedural rules</w:t>
      </w:r>
      <w:r w:rsidR="00A43D20">
        <w:t xml:space="preserve"> as there are no proceedings</w:t>
      </w:r>
      <w:r w:rsidR="00434C3F">
        <w:t xml:space="preserve">. Declarations and statements </w:t>
      </w:r>
      <w:r w:rsidR="007676C9">
        <w:t xml:space="preserve">are not necessary. Some experts </w:t>
      </w:r>
      <w:r w:rsidR="004738F9">
        <w:t xml:space="preserve">use what would be the appropriate declaration and statement of truth if proceedings had been commenced and add a footnote along the lines: </w:t>
      </w:r>
    </w:p>
    <w:p w14:paraId="6565DDB2" w14:textId="17D65DED" w:rsidR="004738F9" w:rsidRDefault="004738F9" w:rsidP="004738F9">
      <w:pPr>
        <w:ind w:left="720"/>
      </w:pPr>
      <w:r>
        <w:t>‘</w:t>
      </w:r>
      <w:r w:rsidR="00F66BE7">
        <w:t>A</w:t>
      </w:r>
      <w:r w:rsidRPr="004738F9">
        <w:t>lthough the Civil Procedure Rules do not yet apply, this Declaration will apply if this advisory report or a subsequent version of it is disclosed in civil proceedings. I have applied the same principles to the preparation of this report as I would if required to comply with the Civil Procedure Rules.</w:t>
      </w:r>
      <w:r>
        <w:t>’</w:t>
      </w:r>
    </w:p>
    <w:p w14:paraId="3F67871C" w14:textId="536362A3" w:rsidR="004738F9" w:rsidRDefault="00D5241D" w:rsidP="00D5241D">
      <w:proofErr w:type="gramStart"/>
      <w:r>
        <w:t>Alternatively</w:t>
      </w:r>
      <w:proofErr w:type="gramEnd"/>
      <w:r>
        <w:t xml:space="preserve"> the declaration can be modified</w:t>
      </w:r>
      <w:r w:rsidR="00637D44">
        <w:t xml:space="preserve"> and the declaration about </w:t>
      </w:r>
      <w:r w:rsidR="00F51A9D">
        <w:t>oral testimony</w:t>
      </w:r>
      <w:r w:rsidR="0078770A">
        <w:t xml:space="preserve">, experts’ meetings, cross-examination and judicial criticism </w:t>
      </w:r>
      <w:r w:rsidR="00FE739E">
        <w:t xml:space="preserve">omitted. </w:t>
      </w:r>
      <w:proofErr w:type="gramStart"/>
      <w:r w:rsidR="00FE739E">
        <w:t>So</w:t>
      </w:r>
      <w:proofErr w:type="gramEnd"/>
      <w:r w:rsidR="00FE739E">
        <w:t xml:space="preserve"> it might begin:</w:t>
      </w:r>
    </w:p>
    <w:p w14:paraId="7FE39271" w14:textId="77777777" w:rsidR="00FE739E" w:rsidRPr="00FE739E" w:rsidRDefault="00FE739E" w:rsidP="00FE739E">
      <w:pPr>
        <w:numPr>
          <w:ilvl w:val="0"/>
          <w:numId w:val="1"/>
        </w:numPr>
      </w:pPr>
      <w:r w:rsidRPr="00FE739E">
        <w:t>I understand that my overriding duty at this stage is to my instructing solicitors and / or instructing party and / or local authority, whilst acknowledging that my role is to remain objective and independent. I understand, have complied and will continue to comply with that duty. This report is not addressed to the Court.</w:t>
      </w:r>
    </w:p>
    <w:p w14:paraId="144BB61B" w14:textId="77777777" w:rsidR="00FE739E" w:rsidRDefault="00FE739E" w:rsidP="00D5241D">
      <w:r>
        <w:t>and include:</w:t>
      </w:r>
    </w:p>
    <w:p w14:paraId="7E7D53C7" w14:textId="77777777" w:rsidR="00A41659" w:rsidRDefault="00A41659" w:rsidP="00A41659">
      <w:pPr>
        <w:pStyle w:val="NormalWeb"/>
        <w:numPr>
          <w:ilvl w:val="0"/>
          <w:numId w:val="4"/>
        </w:numPr>
        <w:shd w:val="clear" w:color="auto" w:fill="FFFFFF"/>
        <w:spacing w:before="0" w:beforeAutospacing="0" w:after="0" w:afterAutospacing="0" w:line="360" w:lineRule="auto"/>
        <w:jc w:val="both"/>
        <w:rPr>
          <w:rFonts w:ascii="Arial" w:hAnsi="Arial" w:cs="Arial"/>
          <w:color w:val="242424"/>
          <w:sz w:val="22"/>
          <w:szCs w:val="22"/>
          <w:bdr w:val="none" w:sz="0" w:space="0" w:color="auto" w:frame="1"/>
        </w:rPr>
      </w:pPr>
      <w:r>
        <w:rPr>
          <w:rFonts w:ascii="Arial" w:hAnsi="Arial" w:cs="Arial"/>
          <w:color w:val="242424"/>
          <w:sz w:val="22"/>
          <w:szCs w:val="22"/>
          <w:bdr w:val="none" w:sz="0" w:space="0" w:color="auto" w:frame="1"/>
        </w:rPr>
        <w:t>I have drawn to the attention of my instructing solicitors / party / local authority all matters, of which I am aware, which might adversely affect my opinion.</w:t>
      </w:r>
    </w:p>
    <w:p w14:paraId="4031D91F" w14:textId="07F31A7C" w:rsidR="00FE739E" w:rsidRDefault="00FE739E" w:rsidP="00D5241D">
      <w:r>
        <w:t xml:space="preserve"> </w:t>
      </w:r>
    </w:p>
    <w:p w14:paraId="05D237C5" w14:textId="77777777" w:rsidR="00E21EE4" w:rsidRPr="004738F9" w:rsidRDefault="00E21EE4" w:rsidP="00D5241D">
      <w:pPr>
        <w:rPr>
          <w:lang w:val="en-US"/>
        </w:rPr>
      </w:pPr>
    </w:p>
    <w:p w14:paraId="0A65093A" w14:textId="0FF6D62D" w:rsidR="00986E6E" w:rsidRPr="00D67888" w:rsidRDefault="00986E6E" w:rsidP="00986E6E"/>
    <w:sectPr w:rsidR="00986E6E" w:rsidRPr="00D67888" w:rsidSect="009746A0">
      <w:pgSz w:w="16838" w:h="11906" w:orient="landscape"/>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2CA6"/>
    <w:multiLevelType w:val="hybridMultilevel"/>
    <w:tmpl w:val="ECE490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6B7CA1"/>
    <w:multiLevelType w:val="hybridMultilevel"/>
    <w:tmpl w:val="19AE7AFA"/>
    <w:lvl w:ilvl="0" w:tplc="1D025E4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A25751"/>
    <w:multiLevelType w:val="hybridMultilevel"/>
    <w:tmpl w:val="ECE490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39576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1891467">
    <w:abstractNumId w:val="0"/>
  </w:num>
  <w:num w:numId="3" w16cid:durableId="2025397301">
    <w:abstractNumId w:val="2"/>
  </w:num>
  <w:num w:numId="4" w16cid:durableId="174735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248"/>
    <w:rsid w:val="00021AA3"/>
    <w:rsid w:val="00022978"/>
    <w:rsid w:val="0004790C"/>
    <w:rsid w:val="000526F7"/>
    <w:rsid w:val="000A6E00"/>
    <w:rsid w:val="000D508B"/>
    <w:rsid w:val="00141C3E"/>
    <w:rsid w:val="00144E60"/>
    <w:rsid w:val="001478DF"/>
    <w:rsid w:val="00153940"/>
    <w:rsid w:val="00154391"/>
    <w:rsid w:val="001606A6"/>
    <w:rsid w:val="001E317E"/>
    <w:rsid w:val="001E7BB7"/>
    <w:rsid w:val="002065AA"/>
    <w:rsid w:val="002155C9"/>
    <w:rsid w:val="00217D5F"/>
    <w:rsid w:val="00272415"/>
    <w:rsid w:val="0029039A"/>
    <w:rsid w:val="00293963"/>
    <w:rsid w:val="00295E7F"/>
    <w:rsid w:val="002A5DB0"/>
    <w:rsid w:val="002B109F"/>
    <w:rsid w:val="00343F92"/>
    <w:rsid w:val="00351294"/>
    <w:rsid w:val="003A25DC"/>
    <w:rsid w:val="003C4018"/>
    <w:rsid w:val="003C4F6D"/>
    <w:rsid w:val="00400CFC"/>
    <w:rsid w:val="00407EB6"/>
    <w:rsid w:val="00412637"/>
    <w:rsid w:val="004234DE"/>
    <w:rsid w:val="00434C3F"/>
    <w:rsid w:val="004738F9"/>
    <w:rsid w:val="0047420C"/>
    <w:rsid w:val="004956AC"/>
    <w:rsid w:val="004D09A5"/>
    <w:rsid w:val="004D5248"/>
    <w:rsid w:val="005217FB"/>
    <w:rsid w:val="005462BF"/>
    <w:rsid w:val="0059730A"/>
    <w:rsid w:val="005B02A4"/>
    <w:rsid w:val="005B4D38"/>
    <w:rsid w:val="005C0BA5"/>
    <w:rsid w:val="005E2E1A"/>
    <w:rsid w:val="005F739D"/>
    <w:rsid w:val="00604F71"/>
    <w:rsid w:val="00621229"/>
    <w:rsid w:val="00637D44"/>
    <w:rsid w:val="00692D18"/>
    <w:rsid w:val="006A7FB2"/>
    <w:rsid w:val="006B5B58"/>
    <w:rsid w:val="006D451E"/>
    <w:rsid w:val="006E024F"/>
    <w:rsid w:val="006E7171"/>
    <w:rsid w:val="00714E66"/>
    <w:rsid w:val="00750CEB"/>
    <w:rsid w:val="007676C9"/>
    <w:rsid w:val="00780B4F"/>
    <w:rsid w:val="0078770A"/>
    <w:rsid w:val="007C43E7"/>
    <w:rsid w:val="007C65BB"/>
    <w:rsid w:val="007C76CB"/>
    <w:rsid w:val="007D3873"/>
    <w:rsid w:val="00830042"/>
    <w:rsid w:val="008559DB"/>
    <w:rsid w:val="00864979"/>
    <w:rsid w:val="00865290"/>
    <w:rsid w:val="008A6814"/>
    <w:rsid w:val="008B13AC"/>
    <w:rsid w:val="00911D47"/>
    <w:rsid w:val="00924C9C"/>
    <w:rsid w:val="00927DF6"/>
    <w:rsid w:val="0093659F"/>
    <w:rsid w:val="009455FE"/>
    <w:rsid w:val="009569B4"/>
    <w:rsid w:val="0096381A"/>
    <w:rsid w:val="009746A0"/>
    <w:rsid w:val="00986E6E"/>
    <w:rsid w:val="009A3181"/>
    <w:rsid w:val="009E7954"/>
    <w:rsid w:val="009F0DA4"/>
    <w:rsid w:val="00A143C8"/>
    <w:rsid w:val="00A41659"/>
    <w:rsid w:val="00A43D20"/>
    <w:rsid w:val="00A53667"/>
    <w:rsid w:val="00A947FF"/>
    <w:rsid w:val="00AF4DB0"/>
    <w:rsid w:val="00B27FE3"/>
    <w:rsid w:val="00B37319"/>
    <w:rsid w:val="00B50FCB"/>
    <w:rsid w:val="00B62D69"/>
    <w:rsid w:val="00B71F39"/>
    <w:rsid w:val="00B83618"/>
    <w:rsid w:val="00BA4AA9"/>
    <w:rsid w:val="00BE2AEA"/>
    <w:rsid w:val="00BE693F"/>
    <w:rsid w:val="00C3359A"/>
    <w:rsid w:val="00C42416"/>
    <w:rsid w:val="00C532EF"/>
    <w:rsid w:val="00C85727"/>
    <w:rsid w:val="00CA25B1"/>
    <w:rsid w:val="00CA3D48"/>
    <w:rsid w:val="00CD1F8B"/>
    <w:rsid w:val="00CD6982"/>
    <w:rsid w:val="00CE39DB"/>
    <w:rsid w:val="00CE64ED"/>
    <w:rsid w:val="00D5241D"/>
    <w:rsid w:val="00D64380"/>
    <w:rsid w:val="00D67888"/>
    <w:rsid w:val="00D87236"/>
    <w:rsid w:val="00D92BF3"/>
    <w:rsid w:val="00D958BC"/>
    <w:rsid w:val="00DB7142"/>
    <w:rsid w:val="00E030B7"/>
    <w:rsid w:val="00E21EE4"/>
    <w:rsid w:val="00E410BB"/>
    <w:rsid w:val="00E64949"/>
    <w:rsid w:val="00E81F3D"/>
    <w:rsid w:val="00E97932"/>
    <w:rsid w:val="00EA03DB"/>
    <w:rsid w:val="00EB4F9F"/>
    <w:rsid w:val="00EE30FF"/>
    <w:rsid w:val="00EF2123"/>
    <w:rsid w:val="00EF412F"/>
    <w:rsid w:val="00F14EA8"/>
    <w:rsid w:val="00F15B85"/>
    <w:rsid w:val="00F51A9D"/>
    <w:rsid w:val="00F54246"/>
    <w:rsid w:val="00F66BE7"/>
    <w:rsid w:val="00F81715"/>
    <w:rsid w:val="00FB35D5"/>
    <w:rsid w:val="00FE5C8F"/>
    <w:rsid w:val="00FE7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B7C0B"/>
  <w15:chartTrackingRefBased/>
  <w15:docId w15:val="{4B1851C7-40D4-4BB1-A1DF-2AE130F03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248"/>
    <w:rPr>
      <w:rFonts w:eastAsiaTheme="majorEastAsia" w:cstheme="majorBidi"/>
      <w:color w:val="272727" w:themeColor="text1" w:themeTint="D8"/>
    </w:rPr>
  </w:style>
  <w:style w:type="paragraph" w:styleId="Title">
    <w:name w:val="Title"/>
    <w:basedOn w:val="Normal"/>
    <w:next w:val="Normal"/>
    <w:link w:val="TitleChar"/>
    <w:uiPriority w:val="10"/>
    <w:qFormat/>
    <w:rsid w:val="004D5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248"/>
    <w:pPr>
      <w:spacing w:before="160"/>
      <w:jc w:val="center"/>
    </w:pPr>
    <w:rPr>
      <w:i/>
      <w:iCs/>
      <w:color w:val="404040" w:themeColor="text1" w:themeTint="BF"/>
    </w:rPr>
  </w:style>
  <w:style w:type="character" w:customStyle="1" w:styleId="QuoteChar">
    <w:name w:val="Quote Char"/>
    <w:basedOn w:val="DefaultParagraphFont"/>
    <w:link w:val="Quote"/>
    <w:uiPriority w:val="29"/>
    <w:rsid w:val="004D5248"/>
    <w:rPr>
      <w:i/>
      <w:iCs/>
      <w:color w:val="404040" w:themeColor="text1" w:themeTint="BF"/>
    </w:rPr>
  </w:style>
  <w:style w:type="paragraph" w:styleId="ListParagraph">
    <w:name w:val="List Paragraph"/>
    <w:basedOn w:val="Normal"/>
    <w:uiPriority w:val="34"/>
    <w:qFormat/>
    <w:rsid w:val="004D5248"/>
    <w:pPr>
      <w:ind w:left="720"/>
      <w:contextualSpacing/>
    </w:pPr>
  </w:style>
  <w:style w:type="character" w:styleId="IntenseEmphasis">
    <w:name w:val="Intense Emphasis"/>
    <w:basedOn w:val="DefaultParagraphFont"/>
    <w:uiPriority w:val="21"/>
    <w:qFormat/>
    <w:rsid w:val="004D5248"/>
    <w:rPr>
      <w:i/>
      <w:iCs/>
      <w:color w:val="0F4761" w:themeColor="accent1" w:themeShade="BF"/>
    </w:rPr>
  </w:style>
  <w:style w:type="paragraph" w:styleId="IntenseQuote">
    <w:name w:val="Intense Quote"/>
    <w:basedOn w:val="Normal"/>
    <w:next w:val="Normal"/>
    <w:link w:val="IntenseQuoteChar"/>
    <w:uiPriority w:val="30"/>
    <w:qFormat/>
    <w:rsid w:val="004D5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248"/>
    <w:rPr>
      <w:i/>
      <w:iCs/>
      <w:color w:val="0F4761" w:themeColor="accent1" w:themeShade="BF"/>
    </w:rPr>
  </w:style>
  <w:style w:type="character" w:styleId="IntenseReference">
    <w:name w:val="Intense Reference"/>
    <w:basedOn w:val="DefaultParagraphFont"/>
    <w:uiPriority w:val="32"/>
    <w:qFormat/>
    <w:rsid w:val="004D5248"/>
    <w:rPr>
      <w:b/>
      <w:bCs/>
      <w:smallCaps/>
      <w:color w:val="0F4761" w:themeColor="accent1" w:themeShade="BF"/>
      <w:spacing w:val="5"/>
    </w:rPr>
  </w:style>
  <w:style w:type="table" w:styleId="TableGrid">
    <w:name w:val="Table Grid"/>
    <w:basedOn w:val="TableNormal"/>
    <w:uiPriority w:val="39"/>
    <w:rsid w:val="007C4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730A"/>
    <w:rPr>
      <w:color w:val="467886" w:themeColor="hyperlink"/>
      <w:u w:val="single"/>
    </w:rPr>
  </w:style>
  <w:style w:type="character" w:styleId="UnresolvedMention">
    <w:name w:val="Unresolved Mention"/>
    <w:basedOn w:val="DefaultParagraphFont"/>
    <w:uiPriority w:val="99"/>
    <w:semiHidden/>
    <w:unhideWhenUsed/>
    <w:rsid w:val="0059730A"/>
    <w:rPr>
      <w:color w:val="605E5C"/>
      <w:shd w:val="clear" w:color="auto" w:fill="E1DFDD"/>
    </w:rPr>
  </w:style>
  <w:style w:type="character" w:styleId="FollowedHyperlink">
    <w:name w:val="FollowedHyperlink"/>
    <w:basedOn w:val="DefaultParagraphFont"/>
    <w:uiPriority w:val="99"/>
    <w:semiHidden/>
    <w:unhideWhenUsed/>
    <w:rsid w:val="006B5B58"/>
    <w:rPr>
      <w:color w:val="96607D" w:themeColor="followedHyperlink"/>
      <w:u w:val="single"/>
    </w:rPr>
  </w:style>
  <w:style w:type="paragraph" w:styleId="FootnoteText">
    <w:name w:val="footnote text"/>
    <w:basedOn w:val="Normal"/>
    <w:link w:val="FootnoteTextChar"/>
    <w:uiPriority w:val="99"/>
    <w:semiHidden/>
    <w:unhideWhenUsed/>
    <w:rsid w:val="004738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38F9"/>
    <w:rPr>
      <w:sz w:val="20"/>
      <w:szCs w:val="20"/>
    </w:rPr>
  </w:style>
  <w:style w:type="paragraph" w:styleId="NormalWeb">
    <w:name w:val="Normal (Web)"/>
    <w:basedOn w:val="Normal"/>
    <w:uiPriority w:val="99"/>
    <w:semiHidden/>
    <w:unhideWhenUsed/>
    <w:rsid w:val="00A416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065">
      <w:bodyDiv w:val="1"/>
      <w:marLeft w:val="0"/>
      <w:marRight w:val="0"/>
      <w:marTop w:val="0"/>
      <w:marBottom w:val="0"/>
      <w:divBdr>
        <w:top w:val="none" w:sz="0" w:space="0" w:color="auto"/>
        <w:left w:val="none" w:sz="0" w:space="0" w:color="auto"/>
        <w:bottom w:val="none" w:sz="0" w:space="0" w:color="auto"/>
        <w:right w:val="none" w:sz="0" w:space="0" w:color="auto"/>
      </w:divBdr>
    </w:div>
    <w:div w:id="96298519">
      <w:bodyDiv w:val="1"/>
      <w:marLeft w:val="0"/>
      <w:marRight w:val="0"/>
      <w:marTop w:val="0"/>
      <w:marBottom w:val="0"/>
      <w:divBdr>
        <w:top w:val="none" w:sz="0" w:space="0" w:color="auto"/>
        <w:left w:val="none" w:sz="0" w:space="0" w:color="auto"/>
        <w:bottom w:val="none" w:sz="0" w:space="0" w:color="auto"/>
        <w:right w:val="none" w:sz="0" w:space="0" w:color="auto"/>
      </w:divBdr>
    </w:div>
    <w:div w:id="211502811">
      <w:bodyDiv w:val="1"/>
      <w:marLeft w:val="0"/>
      <w:marRight w:val="0"/>
      <w:marTop w:val="0"/>
      <w:marBottom w:val="0"/>
      <w:divBdr>
        <w:top w:val="none" w:sz="0" w:space="0" w:color="auto"/>
        <w:left w:val="none" w:sz="0" w:space="0" w:color="auto"/>
        <w:bottom w:val="none" w:sz="0" w:space="0" w:color="auto"/>
        <w:right w:val="none" w:sz="0" w:space="0" w:color="auto"/>
      </w:divBdr>
    </w:div>
    <w:div w:id="309214514">
      <w:bodyDiv w:val="1"/>
      <w:marLeft w:val="0"/>
      <w:marRight w:val="0"/>
      <w:marTop w:val="0"/>
      <w:marBottom w:val="0"/>
      <w:divBdr>
        <w:top w:val="none" w:sz="0" w:space="0" w:color="auto"/>
        <w:left w:val="none" w:sz="0" w:space="0" w:color="auto"/>
        <w:bottom w:val="none" w:sz="0" w:space="0" w:color="auto"/>
        <w:right w:val="none" w:sz="0" w:space="0" w:color="auto"/>
      </w:divBdr>
    </w:div>
    <w:div w:id="371613828">
      <w:bodyDiv w:val="1"/>
      <w:marLeft w:val="0"/>
      <w:marRight w:val="0"/>
      <w:marTop w:val="0"/>
      <w:marBottom w:val="0"/>
      <w:divBdr>
        <w:top w:val="none" w:sz="0" w:space="0" w:color="auto"/>
        <w:left w:val="none" w:sz="0" w:space="0" w:color="auto"/>
        <w:bottom w:val="none" w:sz="0" w:space="0" w:color="auto"/>
        <w:right w:val="none" w:sz="0" w:space="0" w:color="auto"/>
      </w:divBdr>
    </w:div>
    <w:div w:id="389350504">
      <w:bodyDiv w:val="1"/>
      <w:marLeft w:val="0"/>
      <w:marRight w:val="0"/>
      <w:marTop w:val="0"/>
      <w:marBottom w:val="0"/>
      <w:divBdr>
        <w:top w:val="none" w:sz="0" w:space="0" w:color="auto"/>
        <w:left w:val="none" w:sz="0" w:space="0" w:color="auto"/>
        <w:bottom w:val="none" w:sz="0" w:space="0" w:color="auto"/>
        <w:right w:val="none" w:sz="0" w:space="0" w:color="auto"/>
      </w:divBdr>
    </w:div>
    <w:div w:id="416251107">
      <w:bodyDiv w:val="1"/>
      <w:marLeft w:val="0"/>
      <w:marRight w:val="0"/>
      <w:marTop w:val="0"/>
      <w:marBottom w:val="0"/>
      <w:divBdr>
        <w:top w:val="none" w:sz="0" w:space="0" w:color="auto"/>
        <w:left w:val="none" w:sz="0" w:space="0" w:color="auto"/>
        <w:bottom w:val="none" w:sz="0" w:space="0" w:color="auto"/>
        <w:right w:val="none" w:sz="0" w:space="0" w:color="auto"/>
      </w:divBdr>
    </w:div>
    <w:div w:id="602806923">
      <w:bodyDiv w:val="1"/>
      <w:marLeft w:val="0"/>
      <w:marRight w:val="0"/>
      <w:marTop w:val="0"/>
      <w:marBottom w:val="0"/>
      <w:divBdr>
        <w:top w:val="none" w:sz="0" w:space="0" w:color="auto"/>
        <w:left w:val="none" w:sz="0" w:space="0" w:color="auto"/>
        <w:bottom w:val="none" w:sz="0" w:space="0" w:color="auto"/>
        <w:right w:val="none" w:sz="0" w:space="0" w:color="auto"/>
      </w:divBdr>
    </w:div>
    <w:div w:id="837113319">
      <w:bodyDiv w:val="1"/>
      <w:marLeft w:val="0"/>
      <w:marRight w:val="0"/>
      <w:marTop w:val="0"/>
      <w:marBottom w:val="0"/>
      <w:divBdr>
        <w:top w:val="none" w:sz="0" w:space="0" w:color="auto"/>
        <w:left w:val="none" w:sz="0" w:space="0" w:color="auto"/>
        <w:bottom w:val="none" w:sz="0" w:space="0" w:color="auto"/>
        <w:right w:val="none" w:sz="0" w:space="0" w:color="auto"/>
      </w:divBdr>
    </w:div>
    <w:div w:id="1303386504">
      <w:bodyDiv w:val="1"/>
      <w:marLeft w:val="0"/>
      <w:marRight w:val="0"/>
      <w:marTop w:val="0"/>
      <w:marBottom w:val="0"/>
      <w:divBdr>
        <w:top w:val="none" w:sz="0" w:space="0" w:color="auto"/>
        <w:left w:val="none" w:sz="0" w:space="0" w:color="auto"/>
        <w:bottom w:val="none" w:sz="0" w:space="0" w:color="auto"/>
        <w:right w:val="none" w:sz="0" w:space="0" w:color="auto"/>
      </w:divBdr>
    </w:div>
    <w:div w:id="1374889719">
      <w:bodyDiv w:val="1"/>
      <w:marLeft w:val="0"/>
      <w:marRight w:val="0"/>
      <w:marTop w:val="0"/>
      <w:marBottom w:val="0"/>
      <w:divBdr>
        <w:top w:val="none" w:sz="0" w:space="0" w:color="auto"/>
        <w:left w:val="none" w:sz="0" w:space="0" w:color="auto"/>
        <w:bottom w:val="none" w:sz="0" w:space="0" w:color="auto"/>
        <w:right w:val="none" w:sz="0" w:space="0" w:color="auto"/>
      </w:divBdr>
    </w:div>
    <w:div w:id="1607497900">
      <w:bodyDiv w:val="1"/>
      <w:marLeft w:val="0"/>
      <w:marRight w:val="0"/>
      <w:marTop w:val="0"/>
      <w:marBottom w:val="0"/>
      <w:divBdr>
        <w:top w:val="none" w:sz="0" w:space="0" w:color="auto"/>
        <w:left w:val="none" w:sz="0" w:space="0" w:color="auto"/>
        <w:bottom w:val="none" w:sz="0" w:space="0" w:color="auto"/>
        <w:right w:val="none" w:sz="0" w:space="0" w:color="auto"/>
      </w:divBdr>
    </w:div>
    <w:div w:id="1769891742">
      <w:bodyDiv w:val="1"/>
      <w:marLeft w:val="0"/>
      <w:marRight w:val="0"/>
      <w:marTop w:val="0"/>
      <w:marBottom w:val="0"/>
      <w:divBdr>
        <w:top w:val="none" w:sz="0" w:space="0" w:color="auto"/>
        <w:left w:val="none" w:sz="0" w:space="0" w:color="auto"/>
        <w:bottom w:val="none" w:sz="0" w:space="0" w:color="auto"/>
        <w:right w:val="none" w:sz="0" w:space="0" w:color="auto"/>
      </w:divBdr>
    </w:div>
    <w:div w:id="1831174117">
      <w:bodyDiv w:val="1"/>
      <w:marLeft w:val="0"/>
      <w:marRight w:val="0"/>
      <w:marTop w:val="0"/>
      <w:marBottom w:val="0"/>
      <w:divBdr>
        <w:top w:val="none" w:sz="0" w:space="0" w:color="auto"/>
        <w:left w:val="none" w:sz="0" w:space="0" w:color="auto"/>
        <w:bottom w:val="none" w:sz="0" w:space="0" w:color="auto"/>
        <w:right w:val="none" w:sz="0" w:space="0" w:color="auto"/>
      </w:divBdr>
    </w:div>
    <w:div w:id="196773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uk/courts/procedure-rules/civil/rules/part35" TargetMode="External"/><Relationship Id="rId13" Type="http://schemas.openxmlformats.org/officeDocument/2006/relationships/hyperlink" Target="https://www.bailii.org/ie/cases/IESC/2019/S48.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stice.gov.uk/courts/procedure-rules/family/practice_directions/practice-direction-25b-the-duties-of-an-expert-the-experts-report-and-arrangements-for-an-expert-to-attend-court" TargetMode="External"/><Relationship Id="rId12" Type="http://schemas.openxmlformats.org/officeDocument/2006/relationships/hyperlink" Target="https://ww2.courts.ie/rules/evidence" TargetMode="External"/><Relationship Id="rId17" Type="http://schemas.openxmlformats.org/officeDocument/2006/relationships/hyperlink" Target="https://www.lawscot.org.uk/members/business-support/expert-witness/joining-the-directory/expert-witness-code-of-practice/" TargetMode="External"/><Relationship Id="rId2" Type="http://schemas.openxmlformats.org/officeDocument/2006/relationships/styles" Target="styles.xml"/><Relationship Id="rId16" Type="http://schemas.openxmlformats.org/officeDocument/2006/relationships/hyperlink" Target="https://www.judiciaryni.uk/files/judiciaryni/decisions/Practice%20Direction%2002-21%20Clinical%20Negligence%20Litigation%20in%20the%20High%20Court%20%282%29.pdf" TargetMode="External"/><Relationship Id="rId1" Type="http://schemas.openxmlformats.org/officeDocument/2006/relationships/numbering" Target="numbering.xml"/><Relationship Id="rId6" Type="http://schemas.openxmlformats.org/officeDocument/2006/relationships/hyperlink" Target="https://www.judiciary.uk/wp-content/uploads/2023/04/Criminal-Practice-Directions-2023-1.pdf" TargetMode="External"/><Relationship Id="rId11" Type="http://schemas.openxmlformats.org/officeDocument/2006/relationships/hyperlink" Target="https://www.judiciary.uk/wp-content/uploads/2024/10/Practice-Direction-F-tT-IAC-01.11.24.pdf" TargetMode="External"/><Relationship Id="rId5" Type="http://schemas.openxmlformats.org/officeDocument/2006/relationships/hyperlink" Target="https://www.gov.uk/guidance/criminal-procedure-rules-2025-and-criminal-practice-directions-2023" TargetMode="External"/><Relationship Id="rId15" Type="http://schemas.openxmlformats.org/officeDocument/2006/relationships/hyperlink" Target="https://www.judiciaryni.uk/files/judiciaryni/decisions/Practice%20Direction%207-14%20-%20Expert%20declaration.pdf" TargetMode="External"/><Relationship Id="rId10" Type="http://schemas.openxmlformats.org/officeDocument/2006/relationships/hyperlink" Target="https://www.judiciary.uk/wp-content/uploads/2014/08/experts-guidance-cjc-aug-2014-amended-dec-8.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justice.gov.uk/courts/procedure-rules/civil/rules/part35/pd_part35" TargetMode="External"/><Relationship Id="rId14" Type="http://schemas.openxmlformats.org/officeDocument/2006/relationships/hyperlink" Target="https://www.jerseylaw.je/courts/Pages/RC170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1606</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Rix</dc:creator>
  <cp:keywords/>
  <dc:description/>
  <cp:lastModifiedBy>Gavin Herrington</cp:lastModifiedBy>
  <cp:revision>6</cp:revision>
  <dcterms:created xsi:type="dcterms:W3CDTF">2025-08-04T17:38:00Z</dcterms:created>
  <dcterms:modified xsi:type="dcterms:W3CDTF">2026-09-17T15:56:00Z</dcterms:modified>
</cp:coreProperties>
</file>