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6" w:rsidRDefault="00771AB7" w:rsidP="00554B46">
      <w:pPr>
        <w:keepNext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1.4pt;margin-top:125.4pt;width:0;height:136.2pt;flip:y;z-index:251663360" o:connectortype="straight"/>
        </w:pict>
      </w:r>
      <w:r>
        <w:rPr>
          <w:noProof/>
          <w:lang w:eastAsia="en-GB"/>
        </w:rPr>
        <w:pict>
          <v:shape id="_x0000_s1031" type="#_x0000_t32" style="position:absolute;margin-left:556.8pt;margin-top:93pt;width:1.2pt;height:168.6pt;flip:x y;z-index:251661312" o:connectortype="straight"/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20.2pt;margin-top:52.2pt;width:76.2pt;height:40.8pt;z-index:251662336" stroked="f">
            <v:textbox>
              <w:txbxContent>
                <w:p w:rsidR="00492FBA" w:rsidRPr="00492FBA" w:rsidRDefault="00492F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Further increased depot dose administered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47.6pt;margin-top:87pt;width:82.8pt;height:29.4pt;z-index:251660288" strokecolor="white [3212]">
            <v:textbox>
              <w:txbxContent>
                <w:p w:rsidR="00492FBA" w:rsidRPr="00492FBA" w:rsidRDefault="00492F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Diazepam reduced to 4mg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32" style="position:absolute;margin-left:484.2pt;margin-top:116.4pt;width:.6pt;height:145.2pt;flip:x y;z-index:251659264" o:connectortype="straight"/>
        </w:pict>
      </w:r>
      <w:r>
        <w:rPr>
          <w:noProof/>
          <w:lang w:eastAsia="en-GB"/>
        </w:rPr>
        <w:pict>
          <v:shape id="_x0000_s1026" type="#_x0000_t32" style="position:absolute;margin-left:55.8pt;margin-top:58.8pt;width:.6pt;height:202.8pt;flip:y;z-index:251658240" o:connectortype="straight"/>
        </w:pict>
      </w:r>
      <w:r w:rsidR="00311790" w:rsidRPr="00492FBA">
        <w:rPr>
          <w:noProof/>
          <w:lang w:eastAsia="en-GB"/>
        </w:rPr>
        <w:drawing>
          <wp:inline distT="0" distB="0" distL="0" distR="0">
            <wp:extent cx="9014460" cy="4754880"/>
            <wp:effectExtent l="19050" t="0" r="15240" b="7620"/>
            <wp:docPr id="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5FDA" w:rsidRDefault="00554B46" w:rsidP="00554B4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202797">
        <w:t xml:space="preserve"> Pt2’s</w:t>
      </w:r>
      <w:r>
        <w:t xml:space="preserve"> DASA Review</w:t>
      </w:r>
    </w:p>
    <w:p w:rsidR="000B611E" w:rsidRDefault="000B611E" w:rsidP="000B611E"/>
    <w:p w:rsidR="000B611E" w:rsidRDefault="000B611E" w:rsidP="000B611E"/>
    <w:p w:rsidR="000B611E" w:rsidRDefault="00492FBA" w:rsidP="000B611E">
      <w:r>
        <w:lastRenderedPageBreak/>
        <w:t>Summary of findings:</w:t>
      </w:r>
    </w:p>
    <w:p w:rsidR="00202797" w:rsidRDefault="00E017E8" w:rsidP="000B611E">
      <w:r>
        <w:t>In the</w:t>
      </w:r>
      <w:r w:rsidR="00492FBA">
        <w:t xml:space="preserve"> nine week period </w:t>
      </w:r>
      <w:r w:rsidR="00202797">
        <w:t>that Pt2</w:t>
      </w:r>
      <w:r>
        <w:t xml:space="preserve"> was admitted to IPCU</w:t>
      </w:r>
      <w:r w:rsidR="00202797">
        <w:t>,</w:t>
      </w:r>
      <w:r>
        <w:t xml:space="preserve"> </w:t>
      </w:r>
      <w:r w:rsidR="00492FBA">
        <w:t xml:space="preserve">it was identified that </w:t>
      </w:r>
      <w:r>
        <w:t xml:space="preserve">he </w:t>
      </w:r>
      <w:r w:rsidR="00492FBA">
        <w:t>had utilised 168 administrations of as required medications over 53 occasions. Of these administrations</w:t>
      </w:r>
      <w:r w:rsidR="00202797">
        <w:t>,</w:t>
      </w:r>
      <w:r w:rsidR="00492FBA">
        <w:t xml:space="preserve"> 37.7% was nurse led administrations and 62.3% were self requested by the patient. </w:t>
      </w:r>
      <w:r>
        <w:t>Commonly</w:t>
      </w:r>
      <w:r w:rsidR="00202797">
        <w:t>,</w:t>
      </w:r>
      <w:r>
        <w:t xml:space="preserve"> we would expect that as the antipsychotic medications reaches theraputic level that the requirement of as required medication would reduce significantly</w:t>
      </w:r>
      <w:r w:rsidR="00202797">
        <w:t>.</w:t>
      </w:r>
      <w:r>
        <w:t xml:space="preserve"> However</w:t>
      </w:r>
      <w:r w:rsidR="00202797">
        <w:t>,</w:t>
      </w:r>
      <w:r>
        <w:t xml:space="preserve"> it became apparent that </w:t>
      </w:r>
      <w:r w:rsidR="00202797">
        <w:t>Pt2</w:t>
      </w:r>
      <w:r>
        <w:t xml:space="preserve"> was regularly drug seeking and had also been under the influence of cannabis when utilising his accompanied time out of the ward</w:t>
      </w:r>
      <w:r w:rsidR="00202797">
        <w:t>,</w:t>
      </w:r>
      <w:r>
        <w:t xml:space="preserve"> this was clarified by drug testing and later admitted by </w:t>
      </w:r>
      <w:r w:rsidR="00202797">
        <w:t>Pt2</w:t>
      </w:r>
      <w:r>
        <w:t xml:space="preserve">. </w:t>
      </w:r>
      <w:r w:rsidR="00202797">
        <w:t>Pt2</w:t>
      </w:r>
      <w:r w:rsidR="00492FBA">
        <w:t xml:space="preserve"> spent 57% of his admission within the low risk category, 29% of his admission within medium risk category and 13% of his admission within the high risk category. </w:t>
      </w:r>
      <w:r>
        <w:t xml:space="preserve"> The high risk category was as expected within the first week of his admission to IPCU</w:t>
      </w:r>
      <w:r w:rsidR="00202797">
        <w:t>,</w:t>
      </w:r>
      <w:r>
        <w:t xml:space="preserve"> however also entered this category again later when utilising cannabis and absconding from his agreed time out of the ward. </w:t>
      </w:r>
      <w:r w:rsidR="00492FBA">
        <w:t>PMVA was only required to be utilised on two occasions</w:t>
      </w:r>
      <w:r w:rsidR="00202797">
        <w:t>,</w:t>
      </w:r>
      <w:r>
        <w:t xml:space="preserve"> first</w:t>
      </w:r>
      <w:r w:rsidR="00202797">
        <w:t>ly</w:t>
      </w:r>
      <w:r>
        <w:t xml:space="preserve"> on admission to IPCU after being transfered from an open ward due </w:t>
      </w:r>
      <w:r w:rsidR="00202797">
        <w:t xml:space="preserve">to </w:t>
      </w:r>
      <w:r>
        <w:t>aggressive and absconding behaviour. The second of which was for the previously stated absconding and cannabis use</w:t>
      </w:r>
      <w:r w:rsidR="00202797">
        <w:t xml:space="preserve">. </w:t>
      </w:r>
    </w:p>
    <w:p w:rsidR="00492FBA" w:rsidRPr="000B611E" w:rsidRDefault="00E017E8" w:rsidP="000B611E">
      <w:r>
        <w:t>In reviewing this information it appears as though DASA has been an effective predictive tool</w:t>
      </w:r>
      <w:r w:rsidR="00202797">
        <w:t>,</w:t>
      </w:r>
      <w:r>
        <w:t xml:space="preserve"> highlighting the decreasing occurrence of aggression excluding the two events of drug misuse midway through his admission. At the point of transfer from IPCU to a less restrictive environment </w:t>
      </w:r>
      <w:r w:rsidR="00202797">
        <w:t>Pt2</w:t>
      </w:r>
      <w:r>
        <w:t>’s DASA scores were continuously within the low risk category and highlights his IPCU journey to recovery.</w:t>
      </w:r>
    </w:p>
    <w:sectPr w:rsidR="00492FBA" w:rsidRPr="000B611E" w:rsidSect="0031179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97" w:rsidRDefault="00202797" w:rsidP="00202797">
      <w:pPr>
        <w:spacing w:after="0" w:line="240" w:lineRule="auto"/>
      </w:pPr>
      <w:r>
        <w:separator/>
      </w:r>
    </w:p>
  </w:endnote>
  <w:endnote w:type="continuationSeparator" w:id="0">
    <w:p w:rsidR="00202797" w:rsidRDefault="00202797" w:rsidP="0020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97" w:rsidRDefault="00202797" w:rsidP="00202797">
      <w:pPr>
        <w:spacing w:after="0" w:line="240" w:lineRule="auto"/>
      </w:pPr>
      <w:r>
        <w:separator/>
      </w:r>
    </w:p>
  </w:footnote>
  <w:footnote w:type="continuationSeparator" w:id="0">
    <w:p w:rsidR="00202797" w:rsidRDefault="00202797" w:rsidP="0020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97" w:rsidRDefault="00202797">
    <w:pPr>
      <w:pStyle w:val="Header"/>
    </w:pPr>
    <w:r>
      <w:t>APPENDIX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0"/>
    <w:rsid w:val="000B611E"/>
    <w:rsid w:val="00202797"/>
    <w:rsid w:val="002D40E7"/>
    <w:rsid w:val="00311790"/>
    <w:rsid w:val="00492FBA"/>
    <w:rsid w:val="00554B46"/>
    <w:rsid w:val="00632F9D"/>
    <w:rsid w:val="00661D29"/>
    <w:rsid w:val="00771AB7"/>
    <w:rsid w:val="0091497E"/>
    <w:rsid w:val="009A5360"/>
    <w:rsid w:val="00DE58E4"/>
    <w:rsid w:val="00E017E8"/>
    <w:rsid w:val="00E07372"/>
    <w:rsid w:val="00F55314"/>
    <w:rsid w:val="00F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29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4B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0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797"/>
  </w:style>
  <w:style w:type="paragraph" w:styleId="Footer">
    <w:name w:val="footer"/>
    <w:basedOn w:val="Normal"/>
    <w:link w:val="FooterChar"/>
    <w:uiPriority w:val="99"/>
    <w:semiHidden/>
    <w:unhideWhenUsed/>
    <w:rsid w:val="00202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autoTitleDeleted val="1"/>
    <c:plotArea>
      <c:layout>
        <c:manualLayout>
          <c:layoutTarget val="inner"/>
          <c:xMode val="edge"/>
          <c:yMode val="edge"/>
          <c:x val="6.018463668372815E-2"/>
          <c:y val="0.11930606030015478"/>
          <c:w val="0.87963066505938203"/>
          <c:h val="0.58399767246075385"/>
        </c:manualLayout>
      </c:layout>
      <c:barChart>
        <c:barDir val="col"/>
        <c:grouping val="clustered"/>
        <c:ser>
          <c:idx val="1"/>
          <c:order val="1"/>
          <c:tx>
            <c:strRef>
              <c:f>Sheet1!$C$1</c:f>
              <c:strCache>
                <c:ptCount val="1"/>
                <c:pt idx="0">
                  <c:v>Oral as required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cat>
            <c:strRef>
              <c:f>Sheet1!$A$3:$A$26</c:f>
              <c:strCache>
                <c:ptCount val="2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  <c:pt idx="11">
                  <c:v>D12</c:v>
                </c:pt>
                <c:pt idx="12">
                  <c:v>D13</c:v>
                </c:pt>
                <c:pt idx="13">
                  <c:v>D14</c:v>
                </c:pt>
                <c:pt idx="14">
                  <c:v>D15</c:v>
                </c:pt>
                <c:pt idx="15">
                  <c:v>D16</c:v>
                </c:pt>
                <c:pt idx="16">
                  <c:v>D17</c:v>
                </c:pt>
                <c:pt idx="17">
                  <c:v>D18</c:v>
                </c:pt>
                <c:pt idx="18">
                  <c:v>D19</c:v>
                </c:pt>
                <c:pt idx="19">
                  <c:v>D20</c:v>
                </c:pt>
                <c:pt idx="20">
                  <c:v>D21</c:v>
                </c:pt>
                <c:pt idx="21">
                  <c:v>D22</c:v>
                </c:pt>
                <c:pt idx="22">
                  <c:v>D23</c:v>
                </c:pt>
                <c:pt idx="23">
                  <c:v>D24</c:v>
                </c:pt>
              </c:strCache>
            </c:strRef>
          </c:cat>
          <c:val>
            <c:numRef>
              <c:f>Sheet1!$C$2:$C$61</c:f>
              <c:numCache>
                <c:formatCode>General</c:formatCode>
                <c:ptCount val="60"/>
                <c:pt idx="1">
                  <c:v>4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7</c:v>
                </c:pt>
                <c:pt idx="7">
                  <c:v>5</c:v>
                </c:pt>
                <c:pt idx="8">
                  <c:v>1</c:v>
                </c:pt>
                <c:pt idx="9">
                  <c:v>6</c:v>
                </c:pt>
                <c:pt idx="10">
                  <c:v>5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8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6</c:v>
                </c:pt>
                <c:pt idx="19">
                  <c:v>3</c:v>
                </c:pt>
                <c:pt idx="20">
                  <c:v>5</c:v>
                </c:pt>
                <c:pt idx="21">
                  <c:v>5</c:v>
                </c:pt>
                <c:pt idx="22">
                  <c:v>4</c:v>
                </c:pt>
                <c:pt idx="23">
                  <c:v>3</c:v>
                </c:pt>
                <c:pt idx="24">
                  <c:v>5</c:v>
                </c:pt>
                <c:pt idx="25">
                  <c:v>3</c:v>
                </c:pt>
                <c:pt idx="26">
                  <c:v>5</c:v>
                </c:pt>
                <c:pt idx="27">
                  <c:v>2</c:v>
                </c:pt>
                <c:pt idx="28">
                  <c:v>1</c:v>
                </c:pt>
                <c:pt idx="29">
                  <c:v>2</c:v>
                </c:pt>
                <c:pt idx="30">
                  <c:v>2</c:v>
                </c:pt>
                <c:pt idx="31">
                  <c:v>1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0</c:v>
                </c:pt>
                <c:pt idx="36">
                  <c:v>2</c:v>
                </c:pt>
                <c:pt idx="37">
                  <c:v>1</c:v>
                </c:pt>
                <c:pt idx="38">
                  <c:v>3</c:v>
                </c:pt>
                <c:pt idx="39">
                  <c:v>2</c:v>
                </c:pt>
                <c:pt idx="40">
                  <c:v>3</c:v>
                </c:pt>
                <c:pt idx="41">
                  <c:v>1</c:v>
                </c:pt>
                <c:pt idx="42">
                  <c:v>1</c:v>
                </c:pt>
                <c:pt idx="43">
                  <c:v>2</c:v>
                </c:pt>
                <c:pt idx="44">
                  <c:v>1</c:v>
                </c:pt>
                <c:pt idx="45">
                  <c:v>1</c:v>
                </c:pt>
                <c:pt idx="46">
                  <c:v>2</c:v>
                </c:pt>
                <c:pt idx="47">
                  <c:v>0</c:v>
                </c:pt>
                <c:pt idx="48">
                  <c:v>1</c:v>
                </c:pt>
                <c:pt idx="49">
                  <c:v>0</c:v>
                </c:pt>
                <c:pt idx="50">
                  <c:v>2</c:v>
                </c:pt>
                <c:pt idx="51">
                  <c:v>0</c:v>
                </c:pt>
                <c:pt idx="52">
                  <c:v>2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IM as required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cat>
            <c:strRef>
              <c:f>Sheet1!$A$3:$A$26</c:f>
              <c:strCache>
                <c:ptCount val="2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  <c:pt idx="11">
                  <c:v>D12</c:v>
                </c:pt>
                <c:pt idx="12">
                  <c:v>D13</c:v>
                </c:pt>
                <c:pt idx="13">
                  <c:v>D14</c:v>
                </c:pt>
                <c:pt idx="14">
                  <c:v>D15</c:v>
                </c:pt>
                <c:pt idx="15">
                  <c:v>D16</c:v>
                </c:pt>
                <c:pt idx="16">
                  <c:v>D17</c:v>
                </c:pt>
                <c:pt idx="17">
                  <c:v>D18</c:v>
                </c:pt>
                <c:pt idx="18">
                  <c:v>D19</c:v>
                </c:pt>
                <c:pt idx="19">
                  <c:v>D20</c:v>
                </c:pt>
                <c:pt idx="20">
                  <c:v>D21</c:v>
                </c:pt>
                <c:pt idx="21">
                  <c:v>D22</c:v>
                </c:pt>
                <c:pt idx="22">
                  <c:v>D23</c:v>
                </c:pt>
                <c:pt idx="23">
                  <c:v>D24</c:v>
                </c:pt>
              </c:strCache>
            </c:strRef>
          </c:cat>
          <c:val>
            <c:numRef>
              <c:f>Sheet1!$D$2:$D$61</c:f>
              <c:numCache>
                <c:formatCode>General</c:formatCode>
                <c:ptCount val="60"/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Distraction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cat>
            <c:strRef>
              <c:f>Sheet1!$A$3:$A$26</c:f>
              <c:strCache>
                <c:ptCount val="2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  <c:pt idx="11">
                  <c:v>D12</c:v>
                </c:pt>
                <c:pt idx="12">
                  <c:v>D13</c:v>
                </c:pt>
                <c:pt idx="13">
                  <c:v>D14</c:v>
                </c:pt>
                <c:pt idx="14">
                  <c:v>D15</c:v>
                </c:pt>
                <c:pt idx="15">
                  <c:v>D16</c:v>
                </c:pt>
                <c:pt idx="16">
                  <c:v>D17</c:v>
                </c:pt>
                <c:pt idx="17">
                  <c:v>D18</c:v>
                </c:pt>
                <c:pt idx="18">
                  <c:v>D19</c:v>
                </c:pt>
                <c:pt idx="19">
                  <c:v>D20</c:v>
                </c:pt>
                <c:pt idx="20">
                  <c:v>D21</c:v>
                </c:pt>
                <c:pt idx="21">
                  <c:v>D22</c:v>
                </c:pt>
                <c:pt idx="22">
                  <c:v>D23</c:v>
                </c:pt>
                <c:pt idx="23">
                  <c:v>D24</c:v>
                </c:pt>
              </c:strCache>
            </c:strRef>
          </c:cat>
          <c:val>
            <c:numRef>
              <c:f>Sheet1!$E$2:$E$61</c:f>
              <c:numCache>
                <c:formatCode>General</c:formatCode>
                <c:ptCount val="60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Room based care</c:v>
                </c:pt>
              </c:strCache>
            </c:strRef>
          </c:tx>
          <c:spPr>
            <a:solidFill>
              <a:srgbClr val="2CF51D"/>
            </a:solidFill>
            <a:ln>
              <a:noFill/>
            </a:ln>
            <a:effectLst/>
          </c:spPr>
          <c:cat>
            <c:strRef>
              <c:f>Sheet1!$A$3:$A$26</c:f>
              <c:strCache>
                <c:ptCount val="2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  <c:pt idx="11">
                  <c:v>D12</c:v>
                </c:pt>
                <c:pt idx="12">
                  <c:v>D13</c:v>
                </c:pt>
                <c:pt idx="13">
                  <c:v>D14</c:v>
                </c:pt>
                <c:pt idx="14">
                  <c:v>D15</c:v>
                </c:pt>
                <c:pt idx="15">
                  <c:v>D16</c:v>
                </c:pt>
                <c:pt idx="16">
                  <c:v>D17</c:v>
                </c:pt>
                <c:pt idx="17">
                  <c:v>D18</c:v>
                </c:pt>
                <c:pt idx="18">
                  <c:v>D19</c:v>
                </c:pt>
                <c:pt idx="19">
                  <c:v>D20</c:v>
                </c:pt>
                <c:pt idx="20">
                  <c:v>D21</c:v>
                </c:pt>
                <c:pt idx="21">
                  <c:v>D22</c:v>
                </c:pt>
                <c:pt idx="22">
                  <c:v>D23</c:v>
                </c:pt>
                <c:pt idx="23">
                  <c:v>D24</c:v>
                </c:pt>
              </c:strCache>
            </c:strRef>
          </c:cat>
          <c:val>
            <c:numRef>
              <c:f>Sheet1!$F$2:$F$61</c:f>
              <c:numCache>
                <c:formatCode>General</c:formatCode>
                <c:ptCount val="60"/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val>
        </c:ser>
        <c:gapWidth val="269"/>
        <c:axId val="102816384"/>
        <c:axId val="108982656"/>
      </c:barChar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DASA Score</c:v>
                </c:pt>
              </c:strCache>
            </c:strRef>
          </c:tx>
          <c:spPr>
            <a:ln>
              <a:solidFill>
                <a:srgbClr val="FF0000"/>
              </a:solidFill>
            </a:ln>
            <a:effectLst/>
          </c:spPr>
          <c:marker>
            <c:symbol val="none"/>
          </c:marker>
          <c:cat>
            <c:strRef>
              <c:f>Sheet1!$A$3:$A$26</c:f>
              <c:strCache>
                <c:ptCount val="2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  <c:pt idx="11">
                  <c:v>D12</c:v>
                </c:pt>
                <c:pt idx="12">
                  <c:v>D13</c:v>
                </c:pt>
                <c:pt idx="13">
                  <c:v>D14</c:v>
                </c:pt>
                <c:pt idx="14">
                  <c:v>D15</c:v>
                </c:pt>
                <c:pt idx="15">
                  <c:v>D16</c:v>
                </c:pt>
                <c:pt idx="16">
                  <c:v>D17</c:v>
                </c:pt>
                <c:pt idx="17">
                  <c:v>D18</c:v>
                </c:pt>
                <c:pt idx="18">
                  <c:v>D19</c:v>
                </c:pt>
                <c:pt idx="19">
                  <c:v>D20</c:v>
                </c:pt>
                <c:pt idx="20">
                  <c:v>D21</c:v>
                </c:pt>
                <c:pt idx="21">
                  <c:v>D22</c:v>
                </c:pt>
                <c:pt idx="22">
                  <c:v>D23</c:v>
                </c:pt>
                <c:pt idx="23">
                  <c:v>D24</c:v>
                </c:pt>
              </c:strCache>
            </c:strRef>
          </c:cat>
          <c:val>
            <c:numRef>
              <c:f>Sheet1!$B$2:$B$61</c:f>
              <c:numCache>
                <c:formatCode>General</c:formatCode>
                <c:ptCount val="60"/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3</c:v>
                </c:pt>
                <c:pt idx="14">
                  <c:v>2</c:v>
                </c:pt>
                <c:pt idx="15">
                  <c:v>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4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2</c:v>
                </c:pt>
                <c:pt idx="28">
                  <c:v>4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1</c:v>
                </c:pt>
                <c:pt idx="38">
                  <c:v>1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2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2</c:v>
                </c:pt>
                <c:pt idx="52">
                  <c:v>0</c:v>
                </c:pt>
                <c:pt idx="53">
                  <c:v>2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PMVA</c:v>
                </c:pt>
              </c:strCache>
            </c:strRef>
          </c:tx>
          <c:spPr>
            <a:ln w="28575" cap="rnd">
              <a:solidFill>
                <a:srgbClr val="F52BCF"/>
              </a:solidFill>
              <a:round/>
            </a:ln>
            <a:effectLst/>
          </c:spPr>
          <c:marker>
            <c:symbol val="none"/>
          </c:marker>
          <c:cat>
            <c:strRef>
              <c:f>Sheet1!$A$3:$A$26</c:f>
              <c:strCache>
                <c:ptCount val="24"/>
                <c:pt idx="0">
                  <c:v>D1</c:v>
                </c:pt>
                <c:pt idx="1">
                  <c:v>D2</c:v>
                </c:pt>
                <c:pt idx="2">
                  <c:v>D3</c:v>
                </c:pt>
                <c:pt idx="3">
                  <c:v>D4</c:v>
                </c:pt>
                <c:pt idx="4">
                  <c:v>D5</c:v>
                </c:pt>
                <c:pt idx="5">
                  <c:v>D6</c:v>
                </c:pt>
                <c:pt idx="6">
                  <c:v>D7</c:v>
                </c:pt>
                <c:pt idx="7">
                  <c:v>D8</c:v>
                </c:pt>
                <c:pt idx="8">
                  <c:v>D9</c:v>
                </c:pt>
                <c:pt idx="9">
                  <c:v>D10</c:v>
                </c:pt>
                <c:pt idx="10">
                  <c:v>D11</c:v>
                </c:pt>
                <c:pt idx="11">
                  <c:v>D12</c:v>
                </c:pt>
                <c:pt idx="12">
                  <c:v>D13</c:v>
                </c:pt>
                <c:pt idx="13">
                  <c:v>D14</c:v>
                </c:pt>
                <c:pt idx="14">
                  <c:v>D15</c:v>
                </c:pt>
                <c:pt idx="15">
                  <c:v>D16</c:v>
                </c:pt>
                <c:pt idx="16">
                  <c:v>D17</c:v>
                </c:pt>
                <c:pt idx="17">
                  <c:v>D18</c:v>
                </c:pt>
                <c:pt idx="18">
                  <c:v>D19</c:v>
                </c:pt>
                <c:pt idx="19">
                  <c:v>D20</c:v>
                </c:pt>
                <c:pt idx="20">
                  <c:v>D21</c:v>
                </c:pt>
                <c:pt idx="21">
                  <c:v>D22</c:v>
                </c:pt>
                <c:pt idx="22">
                  <c:v>D23</c:v>
                </c:pt>
                <c:pt idx="23">
                  <c:v>D24</c:v>
                </c:pt>
              </c:strCache>
            </c:strRef>
          </c:cat>
          <c:val>
            <c:numRef>
              <c:f>Sheet1!$G$2:$G$61</c:f>
              <c:numCache>
                <c:formatCode>General</c:formatCode>
                <c:ptCount val="60"/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</c:numCache>
            </c:numRef>
          </c:val>
        </c:ser>
        <c:marker val="1"/>
        <c:axId val="102816384"/>
        <c:axId val="108982656"/>
      </c:lineChart>
      <c:catAx>
        <c:axId val="102816384"/>
        <c:scaling>
          <c:orientation val="minMax"/>
        </c:scaling>
        <c:delete val="1"/>
        <c:axPos val="b"/>
        <c:numFmt formatCode="dd/mm/yyyy" sourceLinked="1"/>
        <c:majorTickMark val="none"/>
        <c:tickLblPos val="none"/>
        <c:crossAx val="108982656"/>
        <c:crosses val="autoZero"/>
        <c:lblAlgn val="ctr"/>
        <c:lblOffset val="100"/>
      </c:catAx>
      <c:valAx>
        <c:axId val="1089826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816384"/>
        <c:crossesAt val="44060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solidFill>
            <a:srgbClr val="F52BCF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0.36775</cdr:x>
      <cdr:y>0.02035</cdr:y>
    </cdr:from>
    <cdr:to>
      <cdr:x>0.55734</cdr:x>
      <cdr:y>0.1032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310890" y="106680"/>
          <a:ext cx="1706880" cy="4343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DASA/Intervention</a:t>
          </a:r>
          <a:r>
            <a:rPr lang="en-GB" sz="1100" baseline="0"/>
            <a:t> Review</a:t>
          </a:r>
          <a:endParaRPr lang="en-GB" sz="1100"/>
        </a:p>
      </cdr:txBody>
    </cdr:sp>
  </cdr:relSizeAnchor>
  <cdr:relSizeAnchor xmlns:cdr="http://schemas.openxmlformats.org/drawingml/2006/chartDrawing">
    <cdr:from>
      <cdr:x>0.03593</cdr:x>
      <cdr:y>0.08974</cdr:y>
    </cdr:from>
    <cdr:to>
      <cdr:x>0.13905</cdr:x>
      <cdr:y>0.16506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3850" y="426720"/>
          <a:ext cx="929640" cy="358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Commenced on </a:t>
          </a:r>
          <a:r>
            <a:rPr lang="en-GB" sz="800" baseline="0"/>
            <a:t> antipsychotic</a:t>
          </a:r>
          <a:endParaRPr lang="en-GB" sz="800"/>
        </a:p>
      </cdr:txBody>
    </cdr:sp>
  </cdr:relSizeAnchor>
  <cdr:relSizeAnchor xmlns:cdr="http://schemas.openxmlformats.org/drawingml/2006/chartDrawing">
    <cdr:from>
      <cdr:x>0.33855</cdr:x>
      <cdr:y>0.17949</cdr:y>
    </cdr:from>
    <cdr:to>
      <cdr:x>0.34108</cdr:x>
      <cdr:y>0.70192</cdr:y>
    </cdr:to>
    <cdr:sp macro="" textlink="">
      <cdr:nvSpPr>
        <cdr:cNvPr id="7" name="Straight Connector 6"/>
        <cdr:cNvSpPr/>
      </cdr:nvSpPr>
      <cdr:spPr>
        <a:xfrm xmlns:a="http://schemas.openxmlformats.org/drawingml/2006/main">
          <a:off x="3051810" y="853440"/>
          <a:ext cx="22860" cy="24841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0.3022</cdr:x>
      <cdr:y>0.11058</cdr:y>
    </cdr:from>
    <cdr:to>
      <cdr:x>0.40448</cdr:x>
      <cdr:y>0.18429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724150" y="525780"/>
          <a:ext cx="922020" cy="3505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First depot administered</a:t>
          </a:r>
        </a:p>
      </cdr:txBody>
    </cdr:sp>
  </cdr:relSizeAnchor>
  <cdr:relSizeAnchor xmlns:cdr="http://schemas.openxmlformats.org/drawingml/2006/chartDrawing">
    <cdr:from>
      <cdr:x>0.54396</cdr:x>
      <cdr:y>0.1875</cdr:y>
    </cdr:from>
    <cdr:to>
      <cdr:x>0.54649</cdr:x>
      <cdr:y>0.70192</cdr:y>
    </cdr:to>
    <cdr:sp macro="" textlink="">
      <cdr:nvSpPr>
        <cdr:cNvPr id="10" name="Straight Connector 9"/>
        <cdr:cNvSpPr/>
      </cdr:nvSpPr>
      <cdr:spPr>
        <a:xfrm xmlns:a="http://schemas.openxmlformats.org/drawingml/2006/main" flipH="1" flipV="1">
          <a:off x="4903470" y="891540"/>
          <a:ext cx="22860" cy="24460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0.4814</cdr:x>
      <cdr:y>0.1266</cdr:y>
    </cdr:from>
    <cdr:to>
      <cdr:x>0.61158</cdr:x>
      <cdr:y>0.20833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339590" y="601980"/>
          <a:ext cx="1173480" cy="388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Increased depot dose administered</a:t>
          </a:r>
        </a:p>
      </cdr:txBody>
    </cdr:sp>
  </cdr:relSizeAnchor>
  <cdr:relSizeAnchor xmlns:cdr="http://schemas.openxmlformats.org/drawingml/2006/chartDrawing">
    <cdr:from>
      <cdr:x>0.6175</cdr:x>
      <cdr:y>0.23237</cdr:y>
    </cdr:from>
    <cdr:to>
      <cdr:x>0.61834</cdr:x>
      <cdr:y>0.69712</cdr:y>
    </cdr:to>
    <cdr:sp macro="" textlink="">
      <cdr:nvSpPr>
        <cdr:cNvPr id="13" name="Straight Connector 12"/>
        <cdr:cNvSpPr/>
      </cdr:nvSpPr>
      <cdr:spPr>
        <a:xfrm xmlns:a="http://schemas.openxmlformats.org/drawingml/2006/main" flipH="1" flipV="1">
          <a:off x="5566410" y="1104900"/>
          <a:ext cx="7620" cy="22098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0.55664</cdr:x>
      <cdr:y>0.1875</cdr:y>
    </cdr:from>
    <cdr:to>
      <cdr:x>0.69189</cdr:x>
      <cdr:y>0.26282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5017770" y="891540"/>
          <a:ext cx="1219200" cy="358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Diazepam reduced </a:t>
          </a:r>
          <a:r>
            <a:rPr lang="en-GB" sz="800" baseline="0"/>
            <a:t> to</a:t>
          </a:r>
          <a:r>
            <a:rPr lang="en-GB" sz="800"/>
            <a:t> 10mg</a:t>
          </a:r>
        </a:p>
      </cdr:txBody>
    </cdr:sp>
  </cdr:relSizeAnchor>
  <cdr:relSizeAnchor xmlns:cdr="http://schemas.openxmlformats.org/drawingml/2006/chartDrawing">
    <cdr:from>
      <cdr:x>0.81276</cdr:x>
      <cdr:y>0.36058</cdr:y>
    </cdr:from>
    <cdr:to>
      <cdr:x>0.81445</cdr:x>
      <cdr:y>0.70192</cdr:y>
    </cdr:to>
    <cdr:sp macro="" textlink="">
      <cdr:nvSpPr>
        <cdr:cNvPr id="16" name="Straight Connector 15"/>
        <cdr:cNvSpPr/>
      </cdr:nvSpPr>
      <cdr:spPr>
        <a:xfrm xmlns:a="http://schemas.openxmlformats.org/drawingml/2006/main" flipV="1">
          <a:off x="7326630" y="1714500"/>
          <a:ext cx="15240" cy="16230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0.77642</cdr:x>
      <cdr:y>0.32051</cdr:y>
    </cdr:from>
    <cdr:to>
      <cdr:x>0.89053</cdr:x>
      <cdr:y>0.38622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6998970" y="1524000"/>
          <a:ext cx="1028700" cy="312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Diazepam stopped</a:t>
          </a:r>
        </a:p>
      </cdr:txBody>
    </cdr:sp>
  </cdr:relSizeAnchor>
  <cdr:relSizeAnchor xmlns:cdr="http://schemas.openxmlformats.org/drawingml/2006/chartDrawing">
    <cdr:from>
      <cdr:x>0.76458</cdr:x>
      <cdr:y>0.29968</cdr:y>
    </cdr:from>
    <cdr:to>
      <cdr:x>0.86264</cdr:x>
      <cdr:y>0.375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6892290" y="1424940"/>
          <a:ext cx="883920" cy="358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0.40955</cdr:x>
      <cdr:y>0.27244</cdr:y>
    </cdr:from>
    <cdr:to>
      <cdr:x>0.54818</cdr:x>
      <cdr:y>0.37179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3691890" y="1295400"/>
          <a:ext cx="1249680" cy="4724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Utilised Cannabis and absconded from time out.</a:t>
          </a:r>
        </a:p>
      </cdr:txBody>
    </cdr:sp>
  </cdr:relSizeAnchor>
  <cdr:relSizeAnchor xmlns:cdr="http://schemas.openxmlformats.org/drawingml/2006/chartDrawing">
    <cdr:from>
      <cdr:x>0.35968</cdr:x>
      <cdr:y>0.28526</cdr:y>
    </cdr:from>
    <cdr:to>
      <cdr:x>0.36221</cdr:x>
      <cdr:y>0.69872</cdr:y>
    </cdr:to>
    <cdr:sp macro="" textlink="">
      <cdr:nvSpPr>
        <cdr:cNvPr id="23" name="Straight Connector 22"/>
        <cdr:cNvSpPr/>
      </cdr:nvSpPr>
      <cdr:spPr>
        <a:xfrm xmlns:a="http://schemas.openxmlformats.org/drawingml/2006/main" flipH="1" flipV="1">
          <a:off x="3242310" y="1356360"/>
          <a:ext cx="22860" cy="19659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0.29544</cdr:x>
      <cdr:y>0.19872</cdr:y>
    </cdr:from>
    <cdr:to>
      <cdr:x>0.40448</cdr:x>
      <cdr:y>0.33494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2663190" y="944880"/>
          <a:ext cx="982980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0.33516</cdr:x>
      <cdr:y>0.22276</cdr:y>
    </cdr:from>
    <cdr:to>
      <cdr:x>0.40448</cdr:x>
      <cdr:y>0.29487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3021330" y="1059180"/>
          <a:ext cx="62484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0.33263</cdr:x>
      <cdr:y>0.21635</cdr:y>
    </cdr:from>
    <cdr:to>
      <cdr:x>0.45351</cdr:x>
      <cdr:y>0.37019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2998470" y="1028700"/>
          <a:ext cx="1089660" cy="7315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800"/>
            <a:t>Utilised Cannabis and absconded from time out.</a:t>
          </a:r>
        </a:p>
        <a:p xmlns:a="http://schemas.openxmlformats.org/drawingml/2006/main">
          <a:endParaRPr lang="en-GB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0D155CC5045A0513689D4E84C65" ma:contentTypeVersion="12" ma:contentTypeDescription="Create a new document." ma:contentTypeScope="" ma:versionID="c074a7b2f37ca3e7ac11ad889a74a94b">
  <xsd:schema xmlns:xsd="http://www.w3.org/2001/XMLSchema" xmlns:xs="http://www.w3.org/2001/XMLSchema" xmlns:p="http://schemas.microsoft.com/office/2006/metadata/properties" xmlns:ns2="b1e33ae6-3a4c-4fb5-9d61-a8d22f8572ec" xmlns:ns3="9e866d58-854a-4439-9df1-404090736875" targetNamespace="http://schemas.microsoft.com/office/2006/metadata/properties" ma:root="true" ma:fieldsID="903e812707e6e7248730dc2fd8ffa272" ns2:_="" ns3:_="">
    <xsd:import namespace="b1e33ae6-3a4c-4fb5-9d61-a8d22f8572ec"/>
    <xsd:import namespace="9e866d58-854a-4439-9df1-404090736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3ae6-3a4c-4fb5-9d61-a8d22f85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6d58-854a-4439-9df1-404090736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B12AD-66AB-4705-952A-EC793141C6FD}"/>
</file>

<file path=customXml/itemProps2.xml><?xml version="1.0" encoding="utf-8"?>
<ds:datastoreItem xmlns:ds="http://schemas.openxmlformats.org/officeDocument/2006/customXml" ds:itemID="{61429E71-72F4-4E4F-A94F-476E18070ABA}"/>
</file>

<file path=customXml/itemProps3.xml><?xml version="1.0" encoding="utf-8"?>
<ds:datastoreItem xmlns:ds="http://schemas.openxmlformats.org/officeDocument/2006/customXml" ds:itemID="{2A011DA3-34E0-4E3A-8C32-E0B6D7B61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1505</Characters>
  <Application>Microsoft Office Word</Application>
  <DocSecurity>0</DocSecurity>
  <Lines>12</Lines>
  <Paragraphs>3</Paragraphs>
  <ScaleCrop>false</ScaleCrop>
  <Company>NHS Tayside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vross1</dc:creator>
  <cp:lastModifiedBy>cborsch</cp:lastModifiedBy>
  <cp:revision>2</cp:revision>
  <cp:lastPrinted>2021-03-30T15:23:00Z</cp:lastPrinted>
  <dcterms:created xsi:type="dcterms:W3CDTF">2021-05-04T10:54:00Z</dcterms:created>
  <dcterms:modified xsi:type="dcterms:W3CDTF">2021-05-04T10:54:00Z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0x010100AC1D60D155CC5045A0513689D4E84C65</vt:lpwstr>
  </property>
</Properties>
</file>