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15" w:rsidRPr="00C45388" w:rsidRDefault="00E93815" w:rsidP="00E93815">
      <w:pPr>
        <w:rPr>
          <w:b/>
          <w:sz w:val="28"/>
          <w:szCs w:val="28"/>
        </w:rPr>
      </w:pPr>
      <w:r w:rsidRPr="00C45388">
        <w:rPr>
          <w:b/>
          <w:sz w:val="28"/>
          <w:szCs w:val="28"/>
        </w:rPr>
        <w:t xml:space="preserve">Result of 2017 Survey of </w:t>
      </w:r>
      <w:r w:rsidR="00AF059F" w:rsidRPr="00C45388">
        <w:rPr>
          <w:b/>
          <w:sz w:val="28"/>
          <w:szCs w:val="28"/>
        </w:rPr>
        <w:t xml:space="preserve">Services </w:t>
      </w:r>
      <w:r w:rsidRPr="00C45388">
        <w:rPr>
          <w:b/>
          <w:sz w:val="28"/>
          <w:szCs w:val="28"/>
        </w:rPr>
        <w:t xml:space="preserve">based on </w:t>
      </w:r>
      <w:r w:rsidR="00AF059F" w:rsidRPr="00C45388">
        <w:rPr>
          <w:b/>
          <w:sz w:val="28"/>
          <w:szCs w:val="28"/>
        </w:rPr>
        <w:t>Information from</w:t>
      </w:r>
      <w:r w:rsidRPr="00C45388">
        <w:rPr>
          <w:b/>
          <w:sz w:val="28"/>
          <w:szCs w:val="28"/>
        </w:rPr>
        <w:t xml:space="preserve"> Faculty </w:t>
      </w:r>
      <w:r w:rsidR="00AF059F" w:rsidRPr="00C45388">
        <w:rPr>
          <w:b/>
          <w:sz w:val="28"/>
          <w:szCs w:val="28"/>
        </w:rPr>
        <w:t>M</w:t>
      </w:r>
      <w:r w:rsidRPr="00C45388">
        <w:rPr>
          <w:b/>
          <w:sz w:val="28"/>
          <w:szCs w:val="28"/>
        </w:rPr>
        <w:t>embers  </w:t>
      </w:r>
    </w:p>
    <w:p w:rsidR="00E93815" w:rsidRDefault="00AF059F" w:rsidP="00E93815">
      <w:r>
        <w:t xml:space="preserve">This summer we sent an email to all Faculty members asking for information about their services. </w:t>
      </w:r>
      <w:r w:rsidR="001D78A2">
        <w:t xml:space="preserve">On behalf of the Faculty Executive, </w:t>
      </w:r>
      <w:r w:rsidR="001D78A2">
        <w:t xml:space="preserve">I </w:t>
      </w:r>
      <w:r w:rsidR="001D78A2">
        <w:t xml:space="preserve">would like </w:t>
      </w:r>
      <w:r w:rsidR="001D78A2">
        <w:t>to thank Josie Jenkinson for her hard work on this survey</w:t>
      </w:r>
      <w:r w:rsidR="001D78A2">
        <w:t xml:space="preserve"> and also t</w:t>
      </w:r>
      <w:r w:rsidR="00E93815">
        <w:t>hank</w:t>
      </w:r>
      <w:r>
        <w:t xml:space="preserve"> </w:t>
      </w:r>
      <w:r w:rsidR="001D78A2">
        <w:t xml:space="preserve">all of </w:t>
      </w:r>
      <w:r>
        <w:t>you who responded.</w:t>
      </w:r>
    </w:p>
    <w:p w:rsidR="00E93815" w:rsidRDefault="00AF059F" w:rsidP="00E93815">
      <w:r>
        <w:t>Here</w:t>
      </w:r>
      <w:r w:rsidR="00E93815">
        <w:t xml:space="preserve"> is an outline of the key </w:t>
      </w:r>
      <w:r>
        <w:t xml:space="preserve">findings </w:t>
      </w:r>
      <w:r w:rsidR="001D78A2">
        <w:t>(</w:t>
      </w:r>
      <w:r>
        <w:t>taken across the UK</w:t>
      </w:r>
      <w:r w:rsidR="001D78A2">
        <w:t xml:space="preserve"> unless otherwise stated)</w:t>
      </w:r>
      <w:r>
        <w:t>:</w:t>
      </w:r>
    </w:p>
    <w:p w:rsidR="00E93815" w:rsidRDefault="00E93815" w:rsidP="00E93815">
      <w:pPr>
        <w:pStyle w:val="ListParagraph"/>
        <w:numPr>
          <w:ilvl w:val="0"/>
          <w:numId w:val="1"/>
        </w:numPr>
      </w:pPr>
      <w:r w:rsidRPr="001D78A2">
        <w:rPr>
          <w:b/>
          <w:i/>
        </w:rPr>
        <w:t>Response rate</w:t>
      </w:r>
      <w:r w:rsidR="00AF059F" w:rsidRPr="001D78A2">
        <w:rPr>
          <w:b/>
          <w:i/>
        </w:rPr>
        <w:t>:</w:t>
      </w:r>
      <w:r w:rsidR="00AF059F" w:rsidRPr="001D78A2">
        <w:rPr>
          <w:b/>
        </w:rPr>
        <w:t xml:space="preserve"> </w:t>
      </w:r>
      <w:r>
        <w:t xml:space="preserve">91% of UK Trusts providing OA MH services </w:t>
      </w:r>
      <w:r>
        <w:t>were represented in the responses</w:t>
      </w:r>
      <w:r w:rsidR="00AF059F">
        <w:t>.</w:t>
      </w:r>
      <w:r>
        <w:t xml:space="preserve"> </w:t>
      </w:r>
    </w:p>
    <w:p w:rsidR="001D78A2" w:rsidRPr="001D78A2" w:rsidRDefault="001D78A2" w:rsidP="001D78A2">
      <w:pPr>
        <w:pStyle w:val="ListParagraph"/>
        <w:ind w:left="360"/>
      </w:pPr>
    </w:p>
    <w:p w:rsidR="001D78A2" w:rsidRDefault="00AF059F" w:rsidP="00E93815">
      <w:pPr>
        <w:pStyle w:val="ListParagraph"/>
        <w:numPr>
          <w:ilvl w:val="0"/>
          <w:numId w:val="1"/>
        </w:numPr>
      </w:pPr>
      <w:r w:rsidRPr="001D78A2">
        <w:rPr>
          <w:b/>
          <w:i/>
        </w:rPr>
        <w:t>P</w:t>
      </w:r>
      <w:r w:rsidR="00E93815" w:rsidRPr="001D78A2">
        <w:rPr>
          <w:b/>
          <w:i/>
        </w:rPr>
        <w:t xml:space="preserve">ercentage of </w:t>
      </w:r>
      <w:r w:rsidRPr="001D78A2">
        <w:rPr>
          <w:b/>
          <w:i/>
        </w:rPr>
        <w:t>T</w:t>
      </w:r>
      <w:r w:rsidR="00E93815" w:rsidRPr="001D78A2">
        <w:rPr>
          <w:b/>
          <w:i/>
        </w:rPr>
        <w:t xml:space="preserve">rusts </w:t>
      </w:r>
      <w:r w:rsidRPr="001D78A2">
        <w:rPr>
          <w:b/>
          <w:i/>
        </w:rPr>
        <w:t xml:space="preserve">providing </w:t>
      </w:r>
      <w:r w:rsidR="00E93815" w:rsidRPr="001D78A2">
        <w:rPr>
          <w:b/>
          <w:i/>
        </w:rPr>
        <w:t>some ageless services</w:t>
      </w:r>
      <w:r w:rsidRPr="001D78A2">
        <w:rPr>
          <w:b/>
        </w:rPr>
        <w:t>:  49%</w:t>
      </w:r>
      <w:r>
        <w:t xml:space="preserve"> (</w:t>
      </w:r>
      <w:r w:rsidR="00E93815">
        <w:t>compared wi</w:t>
      </w:r>
      <w:r w:rsidR="00E93815">
        <w:t xml:space="preserve">th </w:t>
      </w:r>
      <w:r w:rsidR="00E93815" w:rsidRPr="001D78A2">
        <w:rPr>
          <w:b/>
        </w:rPr>
        <w:t>69%</w:t>
      </w:r>
      <w:r w:rsidR="00E93815">
        <w:t xml:space="preserve"> in 2012</w:t>
      </w:r>
      <w:r>
        <w:t>)</w:t>
      </w:r>
      <w:r w:rsidR="001D78A2">
        <w:t>.</w:t>
      </w:r>
      <w:r w:rsidR="00E93815">
        <w:t xml:space="preserve"> </w:t>
      </w:r>
    </w:p>
    <w:p w:rsidR="001D78A2" w:rsidRPr="001D78A2" w:rsidRDefault="001D78A2" w:rsidP="001D78A2">
      <w:pPr>
        <w:pStyle w:val="ListParagraph"/>
        <w:rPr>
          <w:b/>
          <w:i/>
        </w:rPr>
      </w:pPr>
    </w:p>
    <w:p w:rsidR="001D78A2" w:rsidRDefault="00AF059F" w:rsidP="00E93815">
      <w:pPr>
        <w:pStyle w:val="ListParagraph"/>
        <w:numPr>
          <w:ilvl w:val="0"/>
          <w:numId w:val="1"/>
        </w:numPr>
      </w:pPr>
      <w:r w:rsidRPr="001D78A2">
        <w:rPr>
          <w:b/>
          <w:i/>
        </w:rPr>
        <w:t>P</w:t>
      </w:r>
      <w:r w:rsidR="00E93815" w:rsidRPr="001D78A2">
        <w:rPr>
          <w:b/>
          <w:i/>
        </w:rPr>
        <w:t xml:space="preserve">roportion of trusts </w:t>
      </w:r>
      <w:r w:rsidRPr="001D78A2">
        <w:rPr>
          <w:b/>
          <w:i/>
        </w:rPr>
        <w:t xml:space="preserve">providing </w:t>
      </w:r>
      <w:r w:rsidR="00E93815" w:rsidRPr="001D78A2">
        <w:rPr>
          <w:b/>
          <w:i/>
        </w:rPr>
        <w:t>ageless CMHT or Ageless inpatient services (</w:t>
      </w:r>
      <w:r w:rsidRPr="001D78A2">
        <w:rPr>
          <w:b/>
          <w:i/>
        </w:rPr>
        <w:t>but</w:t>
      </w:r>
      <w:r w:rsidR="00E93815" w:rsidRPr="001D78A2">
        <w:rPr>
          <w:b/>
          <w:i/>
        </w:rPr>
        <w:t xml:space="preserve"> disregarding day hospitals, liaison and HTT)</w:t>
      </w:r>
      <w:r w:rsidRPr="001D78A2">
        <w:rPr>
          <w:b/>
          <w:i/>
        </w:rPr>
        <w:t xml:space="preserve">: </w:t>
      </w:r>
      <w:r w:rsidR="00E93815">
        <w:t xml:space="preserve">  </w:t>
      </w:r>
      <w:r w:rsidR="001D78A2">
        <w:t xml:space="preserve">   </w:t>
      </w:r>
      <w:r w:rsidR="00E93815" w:rsidRPr="001D78A2">
        <w:rPr>
          <w:b/>
        </w:rPr>
        <w:t>19%</w:t>
      </w:r>
      <w:r w:rsidR="001D78A2">
        <w:t xml:space="preserve"> .</w:t>
      </w:r>
      <w:r w:rsidR="00E93815">
        <w:t>                    </w:t>
      </w:r>
    </w:p>
    <w:p w:rsidR="001D78A2" w:rsidRPr="001D78A2" w:rsidRDefault="001D78A2" w:rsidP="001D78A2">
      <w:pPr>
        <w:pStyle w:val="ListParagraph"/>
        <w:rPr>
          <w:b/>
          <w:i/>
        </w:rPr>
      </w:pPr>
    </w:p>
    <w:p w:rsidR="00E93815" w:rsidRPr="00C45388" w:rsidRDefault="00AF059F" w:rsidP="00712C70">
      <w:pPr>
        <w:pStyle w:val="ListParagraph"/>
        <w:numPr>
          <w:ilvl w:val="0"/>
          <w:numId w:val="1"/>
        </w:numPr>
        <w:rPr>
          <w:b/>
        </w:rPr>
      </w:pPr>
      <w:r w:rsidRPr="001D78A2">
        <w:rPr>
          <w:b/>
          <w:i/>
        </w:rPr>
        <w:t>P</w:t>
      </w:r>
      <w:r w:rsidR="00E93815" w:rsidRPr="001D78A2">
        <w:rPr>
          <w:b/>
          <w:i/>
        </w:rPr>
        <w:t>roportion of Tr</w:t>
      </w:r>
      <w:r w:rsidR="00E93815" w:rsidRPr="001D78A2">
        <w:rPr>
          <w:b/>
          <w:i/>
        </w:rPr>
        <w:t xml:space="preserve">usts </w:t>
      </w:r>
      <w:r w:rsidRPr="001D78A2">
        <w:rPr>
          <w:b/>
          <w:i/>
        </w:rPr>
        <w:t xml:space="preserve">who </w:t>
      </w:r>
      <w:r w:rsidR="00E93815" w:rsidRPr="001D78A2">
        <w:rPr>
          <w:b/>
          <w:i/>
        </w:rPr>
        <w:t>have had some servic</w:t>
      </w:r>
      <w:r w:rsidR="001D78A2" w:rsidRPr="001D78A2">
        <w:rPr>
          <w:b/>
          <w:i/>
        </w:rPr>
        <w:t>es</w:t>
      </w:r>
      <w:r w:rsidR="00E93815" w:rsidRPr="001D78A2">
        <w:rPr>
          <w:b/>
          <w:i/>
        </w:rPr>
        <w:t xml:space="preserve"> </w:t>
      </w:r>
      <w:r w:rsidR="00E93815" w:rsidRPr="001D78A2">
        <w:rPr>
          <w:b/>
          <w:i/>
        </w:rPr>
        <w:t xml:space="preserve">that </w:t>
      </w:r>
      <w:r w:rsidR="00E93815" w:rsidRPr="001D78A2">
        <w:rPr>
          <w:b/>
          <w:i/>
        </w:rPr>
        <w:t>were ageless revert back to old age specific</w:t>
      </w:r>
      <w:r w:rsidRPr="001D78A2">
        <w:rPr>
          <w:b/>
          <w:i/>
        </w:rPr>
        <w:t>:</w:t>
      </w:r>
      <w:r w:rsidR="00E93815" w:rsidRPr="001D78A2">
        <w:rPr>
          <w:b/>
          <w:i/>
        </w:rPr>
        <w:t xml:space="preserve"> </w:t>
      </w:r>
      <w:r w:rsidR="001D78A2" w:rsidRPr="001D78A2">
        <w:rPr>
          <w:b/>
          <w:i/>
        </w:rPr>
        <w:t xml:space="preserve">         </w:t>
      </w:r>
      <w:r w:rsidR="001D78A2" w:rsidRPr="001D78A2">
        <w:rPr>
          <w:b/>
        </w:rPr>
        <w:t>12%</w:t>
      </w:r>
      <w:r w:rsidR="001D78A2">
        <w:t xml:space="preserve"> of Trusts in England.  (These </w:t>
      </w:r>
      <w:r w:rsidR="00E93815">
        <w:t xml:space="preserve">changes were seen </w:t>
      </w:r>
      <w:r w:rsidR="001D78A2">
        <w:t>only </w:t>
      </w:r>
      <w:r w:rsidR="00E93815">
        <w:t>in England</w:t>
      </w:r>
      <w:r w:rsidR="001D78A2">
        <w:t xml:space="preserve">.)  </w:t>
      </w:r>
      <w:r w:rsidR="00E93815">
        <w:t>The main service that reverted to being Old age specific was the CMHT</w:t>
      </w:r>
      <w:r w:rsidR="001D78A2">
        <w:t>.</w:t>
      </w:r>
      <w:r w:rsidR="00E93815">
        <w:t xml:space="preserve"> </w:t>
      </w:r>
    </w:p>
    <w:p w:rsidR="00C45388" w:rsidRPr="00C45388" w:rsidRDefault="00C45388" w:rsidP="00C45388">
      <w:pPr>
        <w:pStyle w:val="ListParagraph"/>
        <w:rPr>
          <w:b/>
        </w:rPr>
      </w:pPr>
    </w:p>
    <w:p w:rsidR="00E93815" w:rsidRDefault="00E93815" w:rsidP="00C45388">
      <w:pPr>
        <w:pStyle w:val="ListParagraph"/>
        <w:numPr>
          <w:ilvl w:val="0"/>
          <w:numId w:val="1"/>
        </w:numPr>
      </w:pPr>
      <w:r w:rsidRPr="001D78A2">
        <w:rPr>
          <w:b/>
          <w:i/>
        </w:rPr>
        <w:t>Other noted changes</w:t>
      </w:r>
      <w:r w:rsidR="001D78A2" w:rsidRPr="001D78A2">
        <w:rPr>
          <w:b/>
          <w:i/>
        </w:rPr>
        <w:t xml:space="preserve">:  </w:t>
      </w:r>
      <w:r>
        <w:t xml:space="preserve">Now only </w:t>
      </w:r>
      <w:r w:rsidRPr="00C45388">
        <w:rPr>
          <w:b/>
        </w:rPr>
        <w:t>26% of Trust</w:t>
      </w:r>
      <w:r w:rsidR="001D78A2" w:rsidRPr="00C45388">
        <w:rPr>
          <w:b/>
        </w:rPr>
        <w:t>s</w:t>
      </w:r>
      <w:r>
        <w:t xml:space="preserve"> have day hospitals</w:t>
      </w:r>
      <w:r w:rsidR="001D78A2">
        <w:t>.</w:t>
      </w:r>
      <w:r>
        <w:t xml:space="preserve"> </w:t>
      </w:r>
      <w:r w:rsidR="00C45388">
        <w:t xml:space="preserve"> </w:t>
      </w:r>
      <w:r w:rsidR="00C45388" w:rsidRPr="00C45388">
        <w:rPr>
          <w:b/>
        </w:rPr>
        <w:t>42%</w:t>
      </w:r>
      <w:r w:rsidR="00C45388">
        <w:t xml:space="preserve"> of respondents said  that there had been a reduction in funding available for older adult services in their organisation over the last 3 years </w:t>
      </w:r>
    </w:p>
    <w:p w:rsidR="001D78A2" w:rsidRDefault="001D78A2" w:rsidP="001D78A2">
      <w:pPr>
        <w:pStyle w:val="ListParagraph"/>
        <w:ind w:left="360"/>
      </w:pPr>
    </w:p>
    <w:p w:rsidR="001D78A2" w:rsidRDefault="00E93815" w:rsidP="00E93815">
      <w:pPr>
        <w:rPr>
          <w:b/>
        </w:rPr>
      </w:pPr>
      <w:r w:rsidRPr="00E93815">
        <w:rPr>
          <w:b/>
        </w:rPr>
        <w:t>O</w:t>
      </w:r>
      <w:r w:rsidRPr="00E93815">
        <w:rPr>
          <w:b/>
        </w:rPr>
        <w:t xml:space="preserve">pinions of members on </w:t>
      </w:r>
      <w:r w:rsidR="001D78A2">
        <w:rPr>
          <w:b/>
        </w:rPr>
        <w:t>the impact of moving to ageless</w:t>
      </w:r>
      <w:r w:rsidRPr="00E93815">
        <w:rPr>
          <w:b/>
        </w:rPr>
        <w:t> services </w:t>
      </w:r>
    </w:p>
    <w:p w:rsidR="00E93815" w:rsidRPr="001D78A2" w:rsidRDefault="001D78A2" w:rsidP="00E93815">
      <w:r w:rsidRPr="001D78A2">
        <w:t>Members’ views on the effect of service changes are presented below:</w:t>
      </w:r>
      <w:r w:rsidR="00E93815" w:rsidRPr="001D78A2">
        <w:t xml:space="preserve"> </w:t>
      </w:r>
    </w:p>
    <w:p w:rsidR="00E93815" w:rsidRDefault="00E93815" w:rsidP="00E93815">
      <w:r>
        <w:t> </w:t>
      </w:r>
      <w:r>
        <w:rPr>
          <w:noProof/>
        </w:rPr>
        <w:drawing>
          <wp:inline distT="0" distB="0" distL="0" distR="0" wp14:anchorId="4C870BC6">
            <wp:extent cx="5742940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815" w:rsidRDefault="00E93815" w:rsidP="00E93815">
      <w:r>
        <w:lastRenderedPageBreak/>
        <w:t> </w:t>
      </w:r>
    </w:p>
    <w:p w:rsidR="00E93815" w:rsidRDefault="00E93815" w:rsidP="00E93815">
      <w:r>
        <w:rPr>
          <w:noProof/>
        </w:rPr>
        <w:drawing>
          <wp:inline distT="0" distB="0" distL="0" distR="0" wp14:anchorId="63B33F1B" wp14:editId="6E88E8A4">
            <wp:extent cx="5731510" cy="3583305"/>
            <wp:effectExtent l="0" t="0" r="2540" b="1714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666C487B-1A00-4BDD-8AB4-56FA0C7AEB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815" w:rsidRDefault="00E93815" w:rsidP="00E93815"/>
    <w:p w:rsidR="00E93815" w:rsidRPr="001D78A2" w:rsidRDefault="00260FAD" w:rsidP="00E93815">
      <w:pPr>
        <w:rPr>
          <w:b/>
        </w:rPr>
      </w:pPr>
      <w:r>
        <w:rPr>
          <w:b/>
        </w:rPr>
        <w:t xml:space="preserve">Further </w:t>
      </w:r>
      <w:r w:rsidR="00E93815" w:rsidRPr="001D78A2">
        <w:rPr>
          <w:b/>
        </w:rPr>
        <w:t xml:space="preserve">Action as result of survey </w:t>
      </w:r>
    </w:p>
    <w:p w:rsidR="00E93815" w:rsidRDefault="00E93815" w:rsidP="00E93815">
      <w:r>
        <w:t xml:space="preserve">We plan to </w:t>
      </w:r>
      <w:r w:rsidR="00260FAD">
        <w:t>undertake</w:t>
      </w:r>
      <w:r>
        <w:t xml:space="preserve"> more detailed analysis and </w:t>
      </w:r>
      <w:r w:rsidR="00260FAD">
        <w:t xml:space="preserve">to </w:t>
      </w:r>
      <w:r>
        <w:t>break down the results by devolved nations</w:t>
      </w:r>
      <w:r w:rsidR="00260FAD">
        <w:t>.  Once this work is complete we will make this available</w:t>
      </w:r>
      <w:r>
        <w:t>.</w:t>
      </w:r>
      <w:r w:rsidR="00C45388">
        <w:t xml:space="preserve"> </w:t>
      </w:r>
      <w:r>
        <w:t xml:space="preserve"> </w:t>
      </w:r>
      <w:r>
        <w:t>If a</w:t>
      </w:r>
      <w:r>
        <w:t>ny</w:t>
      </w:r>
      <w:r>
        <w:t xml:space="preserve"> trainee is interested in helping out with </w:t>
      </w:r>
      <w:r w:rsidRPr="00E93815">
        <w:rPr>
          <w:b/>
        </w:rPr>
        <w:t>this please email  Kitti</w:t>
      </w:r>
      <w:r>
        <w:t xml:space="preserve"> </w:t>
      </w:r>
    </w:p>
    <w:p w:rsidR="00E93815" w:rsidRDefault="00E93815" w:rsidP="00E93815">
      <w:r>
        <w:t xml:space="preserve">We </w:t>
      </w:r>
      <w:r w:rsidR="00260FAD">
        <w:t xml:space="preserve">want also to obtain an understanding of what happens when decisions are made to </w:t>
      </w:r>
      <w:r w:rsidR="00260FAD">
        <w:t>move</w:t>
      </w:r>
      <w:r w:rsidR="00C45388">
        <w:t xml:space="preserve"> from a</w:t>
      </w:r>
      <w:r w:rsidR="00260FAD">
        <w:t xml:space="preserve">geless to </w:t>
      </w:r>
      <w:r w:rsidR="00C45388">
        <w:t>old a</w:t>
      </w:r>
      <w:r w:rsidR="00260FAD">
        <w:t>ge specific services</w:t>
      </w:r>
      <w:r w:rsidR="00260FAD">
        <w:t xml:space="preserve">. What motivates these decisions?  What arguments for </w:t>
      </w:r>
      <w:r w:rsidR="00C45388">
        <w:t xml:space="preserve">reverting back to old age specific </w:t>
      </w:r>
      <w:r w:rsidR="00260FAD">
        <w:t xml:space="preserve"> services find favour with do commissioners? We </w:t>
      </w:r>
      <w:r>
        <w:t xml:space="preserve">will </w:t>
      </w:r>
      <w:r w:rsidR="00C45388">
        <w:t xml:space="preserve">be </w:t>
      </w:r>
      <w:r>
        <w:t>ask</w:t>
      </w:r>
      <w:r w:rsidR="00C45388">
        <w:t>ing</w:t>
      </w:r>
      <w:r>
        <w:t xml:space="preserve"> Faculty </w:t>
      </w:r>
      <w:r w:rsidR="00260FAD">
        <w:t>M</w:t>
      </w:r>
      <w:r>
        <w:t xml:space="preserve">embers if they would be willing to share with other members </w:t>
      </w:r>
      <w:r w:rsidR="00260FAD">
        <w:t>their experience</w:t>
      </w:r>
      <w:r w:rsidR="00260FAD">
        <w:t>s</w:t>
      </w:r>
      <w:r w:rsidR="00260FAD">
        <w:t> </w:t>
      </w:r>
      <w:r w:rsidR="00260FAD">
        <w:t xml:space="preserve">in bringing about a change </w:t>
      </w:r>
      <w:r w:rsidR="00C45388">
        <w:t>from a</w:t>
      </w:r>
      <w:r>
        <w:t xml:space="preserve">geless to </w:t>
      </w:r>
      <w:r w:rsidR="00C45388">
        <w:t>old a</w:t>
      </w:r>
      <w:r w:rsidR="00260FAD">
        <w:t>ge specific services</w:t>
      </w:r>
      <w:r w:rsidR="00C45388">
        <w:t xml:space="preserve">, although in this case, rather than publishing views (some of which </w:t>
      </w:r>
      <w:r w:rsidR="00D4421E">
        <w:t>could possibly</w:t>
      </w:r>
      <w:r w:rsidR="00C45388">
        <w:t xml:space="preserve"> be sensitive) our idea would be to maintain a list </w:t>
      </w:r>
      <w:r w:rsidR="00C45388">
        <w:t xml:space="preserve">on the resource page of the Faculty website </w:t>
      </w:r>
      <w:r>
        <w:t>of anyone who is wi</w:t>
      </w:r>
      <w:r>
        <w:t>lling to share</w:t>
      </w:r>
      <w:r w:rsidR="00C45388">
        <w:t xml:space="preserve"> experiences on a one to one basis</w:t>
      </w:r>
      <w:r>
        <w:t>.</w:t>
      </w:r>
    </w:p>
    <w:p w:rsidR="007B5455" w:rsidRDefault="00E93815" w:rsidP="00E93815">
      <w:r>
        <w:t xml:space="preserve">We </w:t>
      </w:r>
      <w:r w:rsidR="00260FAD">
        <w:t xml:space="preserve">also </w:t>
      </w:r>
      <w:r>
        <w:t xml:space="preserve">aim to </w:t>
      </w:r>
      <w:r w:rsidR="00C45388">
        <w:t xml:space="preserve">refine </w:t>
      </w:r>
      <w:r w:rsidR="00D4421E">
        <w:t>the survey </w:t>
      </w:r>
      <w:r>
        <w:t>and repeat</w:t>
      </w:r>
      <w:r w:rsidR="00C45388">
        <w:t xml:space="preserve"> it</w:t>
      </w:r>
      <w:r>
        <w:t xml:space="preserve"> in June 2018</w:t>
      </w:r>
      <w:r w:rsidR="00D4421E">
        <w:t xml:space="preserve">. </w:t>
      </w:r>
      <w:bookmarkStart w:id="0" w:name="_GoBack"/>
      <w:bookmarkEnd w:id="0"/>
      <w:r w:rsidR="00D4421E">
        <w:t xml:space="preserve">We hope to achieve responses from 100% of </w:t>
      </w:r>
      <w:r w:rsidR="00D4421E">
        <w:t>UK Trusts providing OA MH services</w:t>
      </w:r>
      <w:r w:rsidR="00D4421E">
        <w:t xml:space="preserve">. </w:t>
      </w:r>
    </w:p>
    <w:sectPr w:rsidR="007B54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BC" w:rsidRDefault="003A42BC" w:rsidP="001D78A2">
      <w:pPr>
        <w:spacing w:after="0" w:line="240" w:lineRule="auto"/>
      </w:pPr>
      <w:r>
        <w:separator/>
      </w:r>
    </w:p>
  </w:endnote>
  <w:endnote w:type="continuationSeparator" w:id="0">
    <w:p w:rsidR="003A42BC" w:rsidRDefault="003A42BC" w:rsidP="001D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2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8A2" w:rsidRDefault="001D7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8A2" w:rsidRDefault="001D7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BC" w:rsidRDefault="003A42BC" w:rsidP="001D78A2">
      <w:pPr>
        <w:spacing w:after="0" w:line="240" w:lineRule="auto"/>
      </w:pPr>
      <w:r>
        <w:separator/>
      </w:r>
    </w:p>
  </w:footnote>
  <w:footnote w:type="continuationSeparator" w:id="0">
    <w:p w:rsidR="003A42BC" w:rsidRDefault="003A42BC" w:rsidP="001D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FF5"/>
    <w:multiLevelType w:val="hybridMultilevel"/>
    <w:tmpl w:val="DD1E6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5"/>
    <w:rsid w:val="00027BA0"/>
    <w:rsid w:val="001D78A2"/>
    <w:rsid w:val="00260FAD"/>
    <w:rsid w:val="003A42BC"/>
    <w:rsid w:val="007B5455"/>
    <w:rsid w:val="00AB7FED"/>
    <w:rsid w:val="00AF059F"/>
    <w:rsid w:val="00C45388"/>
    <w:rsid w:val="00D406D0"/>
    <w:rsid w:val="00D4421E"/>
    <w:rsid w:val="00E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F235"/>
  <w15:chartTrackingRefBased/>
  <w15:docId w15:val="{22F2A6B8-CA3A-4627-B9F1-61AB3EA0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8A2"/>
  </w:style>
  <w:style w:type="paragraph" w:styleId="Footer">
    <w:name w:val="footer"/>
    <w:basedOn w:val="Normal"/>
    <w:link w:val="FooterChar"/>
    <w:uiPriority w:val="99"/>
    <w:unhideWhenUsed/>
    <w:rsid w:val="001D7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00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7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012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4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23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3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22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4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07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759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614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566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5571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018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Impact </a:t>
            </a:r>
            <a:r>
              <a:rPr lang="en-GB" baseline="0"/>
              <a:t>of the change from old age services to ageless services on patient outcomes</a:t>
            </a:r>
          </a:p>
          <a:p>
            <a:pPr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'answers for Q6'!$K$91</c:f>
              <c:strCache>
                <c:ptCount val="1"/>
                <c:pt idx="0">
                  <c:v>Decreased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'answers for Q6'!$J$92:$J$101</c:f>
              <c:strCache>
                <c:ptCount val="10"/>
                <c:pt idx="0">
                  <c:v>No. of serious untoward incidents</c:v>
                </c:pt>
                <c:pt idx="1">
                  <c:v>No. of hospital admissions</c:v>
                </c:pt>
                <c:pt idx="2">
                  <c:v>Length of time of admission</c:v>
                </c:pt>
                <c:pt idx="3">
                  <c:v>Relapse e.g. readmission / referral</c:v>
                </c:pt>
                <c:pt idx="4">
                  <c:v>Missed diagnosis</c:v>
                </c:pt>
                <c:pt idx="5">
                  <c:v>Time to treatment</c:v>
                </c:pt>
                <c:pt idx="6">
                  <c:v>Disengagement from services</c:v>
                </c:pt>
                <c:pt idx="7">
                  <c:v>Inappropriate referrals</c:v>
                </c:pt>
                <c:pt idx="8">
                  <c:v>Patients falling thru the gaps</c:v>
                </c:pt>
                <c:pt idx="9">
                  <c:v>Caregiver distress</c:v>
                </c:pt>
              </c:strCache>
            </c:strRef>
          </c:cat>
          <c:val>
            <c:numRef>
              <c:f>'answers for Q6'!$K$92:$K$101</c:f>
              <c:numCache>
                <c:formatCode>0%</c:formatCode>
                <c:ptCount val="10"/>
                <c:pt idx="0">
                  <c:v>2.2222222222222223E-2</c:v>
                </c:pt>
                <c:pt idx="1">
                  <c:v>0.13186813186813187</c:v>
                </c:pt>
                <c:pt idx="2">
                  <c:v>0.10989010989010989</c:v>
                </c:pt>
                <c:pt idx="3">
                  <c:v>1.1363636363636364E-2</c:v>
                </c:pt>
                <c:pt idx="4">
                  <c:v>6.8181818181818177E-2</c:v>
                </c:pt>
                <c:pt idx="5">
                  <c:v>3.4883720930232558E-2</c:v>
                </c:pt>
                <c:pt idx="6">
                  <c:v>3.3707865168539325E-2</c:v>
                </c:pt>
                <c:pt idx="7">
                  <c:v>5.3763440860215055E-2</c:v>
                </c:pt>
                <c:pt idx="8">
                  <c:v>3.3707865168539325E-2</c:v>
                </c:pt>
                <c:pt idx="9">
                  <c:v>2.2222222222222223E-2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9-42CB-90D0-1741B7BD9C33}"/>
            </c:ext>
          </c:extLst>
        </c:ser>
        <c:ser>
          <c:idx val="1"/>
          <c:order val="1"/>
          <c:tx>
            <c:strRef>
              <c:f>'answers for Q6'!$L$91</c:f>
              <c:strCache>
                <c:ptCount val="1"/>
                <c:pt idx="0">
                  <c:v>No change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'answers for Q6'!$J$92:$J$101</c:f>
              <c:strCache>
                <c:ptCount val="10"/>
                <c:pt idx="0">
                  <c:v>No. of serious untoward incidents</c:v>
                </c:pt>
                <c:pt idx="1">
                  <c:v>No. of hospital admissions</c:v>
                </c:pt>
                <c:pt idx="2">
                  <c:v>Length of time of admission</c:v>
                </c:pt>
                <c:pt idx="3">
                  <c:v>Relapse e.g. readmission / referral</c:v>
                </c:pt>
                <c:pt idx="4">
                  <c:v>Missed diagnosis</c:v>
                </c:pt>
                <c:pt idx="5">
                  <c:v>Time to treatment</c:v>
                </c:pt>
                <c:pt idx="6">
                  <c:v>Disengagement from services</c:v>
                </c:pt>
                <c:pt idx="7">
                  <c:v>Inappropriate referrals</c:v>
                </c:pt>
                <c:pt idx="8">
                  <c:v>Patients falling thru the gaps</c:v>
                </c:pt>
                <c:pt idx="9">
                  <c:v>Caregiver distress</c:v>
                </c:pt>
              </c:strCache>
            </c:strRef>
          </c:cat>
          <c:val>
            <c:numRef>
              <c:f>'answers for Q6'!$L$92:$L$101</c:f>
              <c:numCache>
                <c:formatCode>0%</c:formatCode>
                <c:ptCount val="10"/>
                <c:pt idx="0">
                  <c:v>0.67777777777777781</c:v>
                </c:pt>
                <c:pt idx="1">
                  <c:v>0.38461538461538464</c:v>
                </c:pt>
                <c:pt idx="2">
                  <c:v>0.40659340659340659</c:v>
                </c:pt>
                <c:pt idx="3">
                  <c:v>0.54545454545454541</c:v>
                </c:pt>
                <c:pt idx="4">
                  <c:v>0.46590909090909088</c:v>
                </c:pt>
                <c:pt idx="5">
                  <c:v>0.54651162790697672</c:v>
                </c:pt>
                <c:pt idx="6">
                  <c:v>0.449438202247191</c:v>
                </c:pt>
                <c:pt idx="7">
                  <c:v>0.30107526881720431</c:v>
                </c:pt>
                <c:pt idx="8">
                  <c:v>0.449438202247191</c:v>
                </c:pt>
                <c:pt idx="9">
                  <c:v>0.37777777777777777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69-42CB-90D0-1741B7BD9C33}"/>
            </c:ext>
          </c:extLst>
        </c:ser>
        <c:ser>
          <c:idx val="2"/>
          <c:order val="2"/>
          <c:tx>
            <c:strRef>
              <c:f>'answers for Q6'!$M$91</c:f>
              <c:strCache>
                <c:ptCount val="1"/>
                <c:pt idx="0">
                  <c:v>Increased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'answers for Q6'!$J$92:$J$101</c:f>
              <c:strCache>
                <c:ptCount val="10"/>
                <c:pt idx="0">
                  <c:v>No. of serious untoward incidents</c:v>
                </c:pt>
                <c:pt idx="1">
                  <c:v>No. of hospital admissions</c:v>
                </c:pt>
                <c:pt idx="2">
                  <c:v>Length of time of admission</c:v>
                </c:pt>
                <c:pt idx="3">
                  <c:v>Relapse e.g. readmission / referral</c:v>
                </c:pt>
                <c:pt idx="4">
                  <c:v>Missed diagnosis</c:v>
                </c:pt>
                <c:pt idx="5">
                  <c:v>Time to treatment</c:v>
                </c:pt>
                <c:pt idx="6">
                  <c:v>Disengagement from services</c:v>
                </c:pt>
                <c:pt idx="7">
                  <c:v>Inappropriate referrals</c:v>
                </c:pt>
                <c:pt idx="8">
                  <c:v>Patients falling thru the gaps</c:v>
                </c:pt>
                <c:pt idx="9">
                  <c:v>Caregiver distress</c:v>
                </c:pt>
              </c:strCache>
            </c:strRef>
          </c:cat>
          <c:val>
            <c:numRef>
              <c:f>'answers for Q6'!$M$92:$M$101</c:f>
              <c:numCache>
                <c:formatCode>0%</c:formatCode>
                <c:ptCount val="10"/>
                <c:pt idx="0">
                  <c:v>0.3</c:v>
                </c:pt>
                <c:pt idx="1">
                  <c:v>0.48351648351648352</c:v>
                </c:pt>
                <c:pt idx="2">
                  <c:v>0.48351648351648352</c:v>
                </c:pt>
                <c:pt idx="3">
                  <c:v>0.44318181818181818</c:v>
                </c:pt>
                <c:pt idx="4">
                  <c:v>0.46590909090909088</c:v>
                </c:pt>
                <c:pt idx="5">
                  <c:v>0.41860465116279072</c:v>
                </c:pt>
                <c:pt idx="6">
                  <c:v>0.5168539325842697</c:v>
                </c:pt>
                <c:pt idx="7">
                  <c:v>0.64516129032258063</c:v>
                </c:pt>
                <c:pt idx="8">
                  <c:v>0.5168539325842697</c:v>
                </c:pt>
                <c:pt idx="9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69-42CB-90D0-1741B7BD9C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9421016"/>
        <c:axId val="389422000"/>
      </c:barChart>
      <c:catAx>
        <c:axId val="38942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422000"/>
        <c:crosses val="autoZero"/>
        <c:auto val="1"/>
        <c:lblAlgn val="ctr"/>
        <c:lblOffset val="100"/>
        <c:noMultiLvlLbl val="0"/>
      </c:catAx>
      <c:valAx>
        <c:axId val="3894220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89421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Thompsell</dc:creator>
  <cp:keywords/>
  <dc:description/>
  <cp:lastModifiedBy>Amanda Thompsell</cp:lastModifiedBy>
  <cp:revision>1</cp:revision>
  <dcterms:created xsi:type="dcterms:W3CDTF">2017-09-30T13:18:00Z</dcterms:created>
  <dcterms:modified xsi:type="dcterms:W3CDTF">2017-09-30T14:12:00Z</dcterms:modified>
</cp:coreProperties>
</file>